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28D6" w14:textId="55A93CC6" w:rsidR="000E25AA" w:rsidRPr="003062AD" w:rsidRDefault="003062AD" w:rsidP="003062AD">
      <w:pPr>
        <w:jc w:val="center"/>
        <w:rPr>
          <w:b/>
          <w:bCs/>
          <w:sz w:val="28"/>
          <w:szCs w:val="36"/>
        </w:rPr>
      </w:pPr>
      <w:r w:rsidRPr="003062AD">
        <w:rPr>
          <w:rFonts w:hint="eastAsia"/>
          <w:b/>
          <w:bCs/>
          <w:sz w:val="28"/>
          <w:szCs w:val="36"/>
        </w:rPr>
        <w:t>Business Jungle 事業計画書</w:t>
      </w:r>
    </w:p>
    <w:p w14:paraId="10C51F90" w14:textId="77777777" w:rsidR="00DC2936" w:rsidRDefault="00DC2936"/>
    <w:p w14:paraId="12E44852" w14:textId="35B51D81" w:rsidR="003062AD" w:rsidRDefault="003062AD" w:rsidP="00AE3AA6">
      <w:pPr>
        <w:jc w:val="left"/>
        <w:rPr>
          <w:b/>
          <w:bCs/>
        </w:rPr>
      </w:pPr>
      <w:r w:rsidRPr="00AE3AA6">
        <w:rPr>
          <w:rFonts w:hint="eastAsia"/>
          <w:b/>
          <w:bCs/>
        </w:rPr>
        <w:t>市場分析</w:t>
      </w:r>
    </w:p>
    <w:p w14:paraId="32D98F18" w14:textId="15119739" w:rsidR="00AA3A51" w:rsidRPr="00AA3A51" w:rsidRDefault="00AA3A51" w:rsidP="00AE3AA6">
      <w:pPr>
        <w:jc w:val="left"/>
      </w:pPr>
      <w:r w:rsidRPr="00AA3A51">
        <w:rPr>
          <w:rFonts w:hint="eastAsia"/>
        </w:rPr>
        <w:t>創業・事業成長支援の需要は常に存在し、分断されたサービス環境の中で統合型支援へのニーズが高まっている。</w:t>
      </w:r>
    </w:p>
    <w:tbl>
      <w:tblPr>
        <w:tblStyle w:val="aa"/>
        <w:tblW w:w="0" w:type="auto"/>
        <w:tblLayout w:type="fixed"/>
        <w:tblLook w:val="04A0" w:firstRow="1" w:lastRow="0" w:firstColumn="1" w:lastColumn="0" w:noHBand="0" w:noVBand="1"/>
      </w:tblPr>
      <w:tblGrid>
        <w:gridCol w:w="2122"/>
        <w:gridCol w:w="6372"/>
      </w:tblGrid>
      <w:tr w:rsidR="003062AD" w14:paraId="584EAEBE" w14:textId="77777777" w:rsidTr="00AE3AA6">
        <w:tc>
          <w:tcPr>
            <w:tcW w:w="2122" w:type="dxa"/>
            <w:shd w:val="clear" w:color="auto" w:fill="F2F2F2" w:themeFill="background1" w:themeFillShade="F2"/>
          </w:tcPr>
          <w:p w14:paraId="05B0C80F" w14:textId="77777777" w:rsidR="00AE3AA6" w:rsidRDefault="00AE3AA6" w:rsidP="00AE3AA6">
            <w:pPr>
              <w:jc w:val="left"/>
            </w:pPr>
            <w:r>
              <w:rPr>
                <w:rFonts w:hint="eastAsia"/>
              </w:rPr>
              <w:t>業界の</w:t>
            </w:r>
          </w:p>
          <w:p w14:paraId="05E0EEEB" w14:textId="0D1BFC75" w:rsidR="003062AD" w:rsidRDefault="00AE3AA6" w:rsidP="00AE3AA6">
            <w:pPr>
              <w:jc w:val="left"/>
            </w:pPr>
            <w:r>
              <w:rPr>
                <w:rFonts w:hint="eastAsia"/>
              </w:rPr>
              <w:t>規模・成長性</w:t>
            </w:r>
          </w:p>
        </w:tc>
        <w:tc>
          <w:tcPr>
            <w:tcW w:w="6372" w:type="dxa"/>
          </w:tcPr>
          <w:p w14:paraId="583C93E0" w14:textId="77777777" w:rsidR="00C51710" w:rsidRDefault="00457777" w:rsidP="00AE3AA6">
            <w:pPr>
              <w:jc w:val="left"/>
            </w:pPr>
            <w:r w:rsidRPr="00457777">
              <w:t>スタートアップの創業や新規事業の立ち上げは、一時的なブームではなく、今後も継続して発生し続けるテーマである。</w:t>
            </w:r>
          </w:p>
          <w:p w14:paraId="0D296B4D" w14:textId="77777777" w:rsidR="00C51710" w:rsidRDefault="00457777" w:rsidP="00AE3AA6">
            <w:pPr>
              <w:jc w:val="left"/>
            </w:pPr>
            <w:r w:rsidRPr="00457777">
              <w:t>副業解禁、キャリアの多様化、テクノロジーの進化により、個人や小さなチームでも新しい事業に挑戦しやすくなっている一方で、事業を立ち上げてから成長軌道に乗せるまでの難易度は依然として高い。</w:t>
            </w:r>
          </w:p>
          <w:p w14:paraId="213A6558" w14:textId="2701DA88" w:rsidR="003062AD" w:rsidRPr="00457777" w:rsidRDefault="00457777" w:rsidP="00AE3AA6">
            <w:pPr>
              <w:jc w:val="left"/>
            </w:pPr>
            <w:r w:rsidRPr="00457777">
              <w:t>創業支援に限らず、事業成長フェーズで必要となるブランド構築、人材採用、営業基盤づくり、デジタルマーケティングなどの需要も、経済環境の変化にかかわらず一定以上存在する。特に、複数の専門領域を横断して支援できるプレイヤーはまだ少なく、分断されたサービス群をつなぎ合わせるハブとなる存在には、今後も安定した成長余地があると考えられる。</w:t>
            </w:r>
          </w:p>
        </w:tc>
      </w:tr>
      <w:tr w:rsidR="003062AD" w14:paraId="2B472900" w14:textId="77777777" w:rsidTr="00AE3AA6">
        <w:tc>
          <w:tcPr>
            <w:tcW w:w="2122" w:type="dxa"/>
            <w:shd w:val="clear" w:color="auto" w:fill="F2F2F2" w:themeFill="background1" w:themeFillShade="F2"/>
          </w:tcPr>
          <w:p w14:paraId="5AD149D6" w14:textId="529E2609" w:rsidR="00AE3AA6" w:rsidRDefault="00AE3AA6" w:rsidP="00AE3AA6">
            <w:pPr>
              <w:jc w:val="left"/>
            </w:pPr>
            <w:r>
              <w:rPr>
                <w:rFonts w:hint="eastAsia"/>
              </w:rPr>
              <w:t>顧客の抱える</w:t>
            </w:r>
          </w:p>
          <w:p w14:paraId="5D929DB1" w14:textId="69F799B9" w:rsidR="003062AD" w:rsidRDefault="00AE3AA6" w:rsidP="00AE3AA6">
            <w:pPr>
              <w:jc w:val="left"/>
            </w:pPr>
            <w:r>
              <w:rPr>
                <w:rFonts w:hint="eastAsia"/>
              </w:rPr>
              <w:t>課題</w:t>
            </w:r>
          </w:p>
        </w:tc>
        <w:tc>
          <w:tcPr>
            <w:tcW w:w="6372" w:type="dxa"/>
          </w:tcPr>
          <w:p w14:paraId="359FF341" w14:textId="77777777" w:rsidR="00C51710" w:rsidRDefault="00457777" w:rsidP="00AE3AA6">
            <w:pPr>
              <w:jc w:val="left"/>
            </w:pPr>
            <w:r w:rsidRPr="00457777">
              <w:t>スタートアップの多くは、事業アイデアや技術には自信があっても、会社づくりや事業成長に必要な要素を一貫して設計することに苦戦している。</w:t>
            </w:r>
          </w:p>
          <w:p w14:paraId="6FB8EB95" w14:textId="77777777" w:rsidR="00C51710" w:rsidRDefault="00C51710" w:rsidP="00AE3AA6">
            <w:pPr>
              <w:jc w:val="left"/>
            </w:pPr>
            <w:r>
              <w:rPr>
                <w:rFonts w:hint="eastAsia"/>
              </w:rPr>
              <w:t>企業理念</w:t>
            </w:r>
            <w:r w:rsidR="00457777" w:rsidRPr="00457777">
              <w:t>の言語化、事業戦略の構築、営業資料の整備、資金調達に向けた準備、採用や組織づくり、ブランドやサイトの設計など、</w:t>
            </w:r>
            <w:r>
              <w:rPr>
                <w:rFonts w:hint="eastAsia"/>
              </w:rPr>
              <w:t>創業・事業成長において検討すべき</w:t>
            </w:r>
            <w:r w:rsidR="00457777" w:rsidRPr="00457777">
              <w:t>テーマは幅広いが、それぞれを別々のサービスや個人に依頼すると、世界観が分断され、情報連携の負荷も大きくなる。また、創業者や少人数チームは日々のオペレーションに追われ、各テーマを自力で学び、検討し、形にしていく時間が十分に取れない。</w:t>
            </w:r>
          </w:p>
          <w:p w14:paraId="5CB87401" w14:textId="3CD919A0" w:rsidR="003062AD" w:rsidRPr="00457777" w:rsidRDefault="00457777" w:rsidP="00AE3AA6">
            <w:pPr>
              <w:jc w:val="left"/>
            </w:pPr>
            <w:r w:rsidRPr="00457777">
              <w:t>この結果、やるべきことは分かっているのに前に進まない状態に陥りやすく、横断的に伴走してくれる存在へのニーズが高まっている。</w:t>
            </w:r>
          </w:p>
        </w:tc>
      </w:tr>
    </w:tbl>
    <w:p w14:paraId="54AEDD8F" w14:textId="77777777" w:rsidR="003062AD" w:rsidRDefault="003062AD" w:rsidP="00AE3AA6">
      <w:pPr>
        <w:jc w:val="left"/>
      </w:pPr>
    </w:p>
    <w:p w14:paraId="53C51062" w14:textId="77777777" w:rsidR="00F53C9D" w:rsidRPr="00AA3A51" w:rsidRDefault="00F53C9D" w:rsidP="00AE3AA6">
      <w:pPr>
        <w:jc w:val="left"/>
      </w:pPr>
    </w:p>
    <w:p w14:paraId="2E1244A6" w14:textId="4BFB3799" w:rsidR="003062AD" w:rsidRDefault="003062AD" w:rsidP="00AE3AA6">
      <w:pPr>
        <w:jc w:val="left"/>
        <w:rPr>
          <w:b/>
          <w:bCs/>
        </w:rPr>
      </w:pPr>
      <w:r w:rsidRPr="00AE3AA6">
        <w:rPr>
          <w:rFonts w:hint="eastAsia"/>
          <w:b/>
          <w:bCs/>
        </w:rPr>
        <w:t>競合分析</w:t>
      </w:r>
    </w:p>
    <w:p w14:paraId="47DA024D" w14:textId="55E3045B" w:rsidR="00AA3A51" w:rsidRPr="00AA3A51" w:rsidRDefault="004E30DD" w:rsidP="00AE3AA6">
      <w:pPr>
        <w:jc w:val="left"/>
      </w:pPr>
      <w:r>
        <w:rPr>
          <w:rFonts w:hint="eastAsia"/>
        </w:rPr>
        <w:t>競合は</w:t>
      </w:r>
      <w:r w:rsidR="00AA3A51" w:rsidRPr="00AA3A51">
        <w:t>専門型とプラットフォーム型に分かれるが、スタートアップ特化で統合的に支援するサービスはほぼ存在しない。</w:t>
      </w:r>
    </w:p>
    <w:tbl>
      <w:tblPr>
        <w:tblStyle w:val="aa"/>
        <w:tblW w:w="0" w:type="auto"/>
        <w:tblLayout w:type="fixed"/>
        <w:tblLook w:val="04A0" w:firstRow="1" w:lastRow="0" w:firstColumn="1" w:lastColumn="0" w:noHBand="0" w:noVBand="1"/>
      </w:tblPr>
      <w:tblGrid>
        <w:gridCol w:w="2122"/>
        <w:gridCol w:w="6372"/>
      </w:tblGrid>
      <w:tr w:rsidR="003062AD" w14:paraId="3831C5F6" w14:textId="77777777" w:rsidTr="00AE3AA6">
        <w:tc>
          <w:tcPr>
            <w:tcW w:w="2122" w:type="dxa"/>
            <w:shd w:val="clear" w:color="auto" w:fill="F2F2F2" w:themeFill="background1" w:themeFillShade="F2"/>
          </w:tcPr>
          <w:p w14:paraId="2A889A90" w14:textId="34846E3D" w:rsidR="003062AD" w:rsidRDefault="00AE3AA6" w:rsidP="00AE3AA6">
            <w:pPr>
              <w:jc w:val="left"/>
            </w:pPr>
            <w:r>
              <w:rPr>
                <w:rFonts w:hint="eastAsia"/>
              </w:rPr>
              <w:lastRenderedPageBreak/>
              <w:t>競合の一覧</w:t>
            </w:r>
          </w:p>
        </w:tc>
        <w:tc>
          <w:tcPr>
            <w:tcW w:w="6372" w:type="dxa"/>
          </w:tcPr>
          <w:p w14:paraId="68D2A8EE" w14:textId="77777777" w:rsidR="004E30DD" w:rsidRDefault="00457777" w:rsidP="00AE3AA6">
            <w:pPr>
              <w:jc w:val="left"/>
            </w:pPr>
            <w:r w:rsidRPr="00457777">
              <w:t>スタートアップ向けのサービスは、個別機能に特化した専門事業者と、サービス提供者と利用者をつなぐプラットフォームに大別できる。</w:t>
            </w:r>
          </w:p>
          <w:p w14:paraId="5D59251A" w14:textId="77777777" w:rsidR="004E30DD" w:rsidRDefault="00457777" w:rsidP="00AE3AA6">
            <w:pPr>
              <w:jc w:val="left"/>
            </w:pPr>
            <w:r w:rsidRPr="00457777">
              <w:t>前者には、事業計画書作成、デザイン制作、サイト制作、採用支援、コンサルティングなど、テーマごとに分断されたプレイヤーが多数存在する。それぞれの専門領域では高品質な支援を行うものの、創業や事業成長全体を見渡して支援する設計にはなっていない。</w:t>
            </w:r>
          </w:p>
          <w:p w14:paraId="27C6F94A" w14:textId="77777777" w:rsidR="004E30DD" w:rsidRDefault="00457777" w:rsidP="00AE3AA6">
            <w:pPr>
              <w:jc w:val="left"/>
            </w:pPr>
            <w:r w:rsidRPr="00457777">
              <w:t>一方、後者のプラットフォームは、幅広いサービスを一覧化して選べる利便性を提供するが、スタートアップに特化した設計になっていない場合が多く、個々の出品者の品質もばらつきやすい。</w:t>
            </w:r>
          </w:p>
          <w:p w14:paraId="559E6266" w14:textId="3FF15141" w:rsidR="003062AD" w:rsidRPr="00457777" w:rsidRDefault="00457777" w:rsidP="00AE3AA6">
            <w:pPr>
              <w:jc w:val="left"/>
            </w:pPr>
            <w:r w:rsidRPr="00457777">
              <w:t>結果として、スタートアップ側は、どのテーマで誰に何を依頼すべきかを、自力で選び続ける負担を抱えている。</w:t>
            </w:r>
          </w:p>
        </w:tc>
      </w:tr>
      <w:tr w:rsidR="003062AD" w14:paraId="4689BC9C" w14:textId="77777777" w:rsidTr="00AE3AA6">
        <w:tc>
          <w:tcPr>
            <w:tcW w:w="2122" w:type="dxa"/>
            <w:shd w:val="clear" w:color="auto" w:fill="F2F2F2" w:themeFill="background1" w:themeFillShade="F2"/>
          </w:tcPr>
          <w:p w14:paraId="719E66FB" w14:textId="77777777" w:rsidR="00AE3AA6" w:rsidRDefault="00AE3AA6" w:rsidP="00AE3AA6">
            <w:pPr>
              <w:jc w:val="left"/>
            </w:pPr>
            <w:r>
              <w:rPr>
                <w:rFonts w:hint="eastAsia"/>
              </w:rPr>
              <w:t>競合の</w:t>
            </w:r>
          </w:p>
          <w:p w14:paraId="68843F36" w14:textId="2A0A8BB5" w:rsidR="003062AD" w:rsidRDefault="00AE3AA6" w:rsidP="00AE3AA6">
            <w:pPr>
              <w:jc w:val="left"/>
            </w:pPr>
            <w:r>
              <w:rPr>
                <w:rFonts w:hint="eastAsia"/>
              </w:rPr>
              <w:t>ポジショニング</w:t>
            </w:r>
          </w:p>
        </w:tc>
        <w:tc>
          <w:tcPr>
            <w:tcW w:w="6372" w:type="dxa"/>
          </w:tcPr>
          <w:p w14:paraId="66F10E3E" w14:textId="77777777" w:rsidR="004E30DD" w:rsidRDefault="00457777" w:rsidP="00AE3AA6">
            <w:pPr>
              <w:jc w:val="left"/>
            </w:pPr>
            <w:r w:rsidRPr="00457777">
              <w:t>ポジショニングの観点で見ると、多くのプレイヤーは「特定の専門領域に深い個別サービス」か、「幅広いカテゴリを揃えた汎用プラットフォーム」のどちらかに寄っている。</w:t>
            </w:r>
          </w:p>
          <w:p w14:paraId="797C436B" w14:textId="77777777" w:rsidR="004E30DD" w:rsidRDefault="00457777" w:rsidP="00AE3AA6">
            <w:pPr>
              <w:jc w:val="left"/>
            </w:pPr>
            <w:r w:rsidRPr="00457777">
              <w:t>前者は質の高いアウトプットを提供しやすいが、創業や事業成長の全体設計という視点を持ちにくく、スタートアップ側が自ら全体を編集する必要がある。</w:t>
            </w:r>
          </w:p>
          <w:p w14:paraId="5F10E0A2" w14:textId="77777777" w:rsidR="004E30DD" w:rsidRDefault="00457777" w:rsidP="00AE3AA6">
            <w:pPr>
              <w:jc w:val="left"/>
            </w:pPr>
            <w:r w:rsidRPr="00457777">
              <w:t>後者は選択肢の多さや価格の幅を提供するものの、スタートアップのフェーズや課題に合わせた体系的な伴走は期待しづらい。</w:t>
            </w:r>
          </w:p>
          <w:p w14:paraId="3479FA72" w14:textId="2F335356" w:rsidR="003062AD" w:rsidRPr="00457777" w:rsidRDefault="00457777" w:rsidP="00AE3AA6">
            <w:pPr>
              <w:jc w:val="left"/>
            </w:pPr>
            <w:r w:rsidRPr="00457777">
              <w:t>この間に位置する「スタートアップに特化しつつ、多様な機能を一貫した世界観で提供するプラットフォーム」は、まだ十分に確立されていない領域であり、ここを押さえることで、専門性と利便性の両面で差別化する余地があると考えられる。</w:t>
            </w:r>
          </w:p>
        </w:tc>
      </w:tr>
    </w:tbl>
    <w:p w14:paraId="1F467659" w14:textId="77777777" w:rsidR="003062AD" w:rsidRDefault="003062AD" w:rsidP="00AE3AA6">
      <w:pPr>
        <w:jc w:val="left"/>
      </w:pPr>
    </w:p>
    <w:p w14:paraId="3CF86CFC" w14:textId="77777777" w:rsidR="00F53C9D" w:rsidRDefault="00F53C9D" w:rsidP="00AE3AA6">
      <w:pPr>
        <w:jc w:val="left"/>
      </w:pPr>
    </w:p>
    <w:p w14:paraId="727E12CB" w14:textId="032098A4" w:rsidR="003062AD" w:rsidRDefault="003062AD" w:rsidP="00AE3AA6">
      <w:pPr>
        <w:jc w:val="left"/>
        <w:rPr>
          <w:b/>
          <w:bCs/>
        </w:rPr>
      </w:pPr>
      <w:r w:rsidRPr="00AE3AA6">
        <w:rPr>
          <w:rFonts w:hint="eastAsia"/>
          <w:b/>
          <w:bCs/>
        </w:rPr>
        <w:t>自社戦略</w:t>
      </w:r>
    </w:p>
    <w:p w14:paraId="1B38053F" w14:textId="00E5D539" w:rsidR="00AA3A51" w:rsidRPr="00AA3A51" w:rsidRDefault="00AA3A51" w:rsidP="00AE3AA6">
      <w:pPr>
        <w:jc w:val="left"/>
      </w:pPr>
      <w:r w:rsidRPr="00AA3A51">
        <w:t>創業から成長フェーズまで必要な機能を一貫提供し、単発依頼を連鎖的な価値提供へ転換するプラットフォームを構築する。</w:t>
      </w:r>
    </w:p>
    <w:tbl>
      <w:tblPr>
        <w:tblStyle w:val="aa"/>
        <w:tblW w:w="0" w:type="auto"/>
        <w:tblLayout w:type="fixed"/>
        <w:tblLook w:val="04A0" w:firstRow="1" w:lastRow="0" w:firstColumn="1" w:lastColumn="0" w:noHBand="0" w:noVBand="1"/>
      </w:tblPr>
      <w:tblGrid>
        <w:gridCol w:w="2122"/>
        <w:gridCol w:w="6372"/>
      </w:tblGrid>
      <w:tr w:rsidR="003062AD" w14:paraId="5DF05D4C" w14:textId="77777777" w:rsidTr="00AE3AA6">
        <w:tc>
          <w:tcPr>
            <w:tcW w:w="2122" w:type="dxa"/>
            <w:shd w:val="clear" w:color="auto" w:fill="F2F2F2" w:themeFill="background1" w:themeFillShade="F2"/>
          </w:tcPr>
          <w:p w14:paraId="3520F369" w14:textId="77777777" w:rsidR="00AE3AA6" w:rsidRDefault="00AE3AA6" w:rsidP="00AE3AA6">
            <w:pPr>
              <w:jc w:val="left"/>
            </w:pPr>
            <w:r>
              <w:rPr>
                <w:rFonts w:hint="eastAsia"/>
              </w:rPr>
              <w:t>Product</w:t>
            </w:r>
          </w:p>
          <w:p w14:paraId="2D15744E" w14:textId="4355295F" w:rsidR="003062AD" w:rsidRDefault="00AE3AA6" w:rsidP="00AE3AA6">
            <w:pPr>
              <w:jc w:val="left"/>
            </w:pPr>
            <w:r>
              <w:rPr>
                <w:rFonts w:hint="eastAsia"/>
              </w:rPr>
              <w:t>（商品・サービス）</w:t>
            </w:r>
          </w:p>
        </w:tc>
        <w:tc>
          <w:tcPr>
            <w:tcW w:w="6372" w:type="dxa"/>
          </w:tcPr>
          <w:p w14:paraId="0FFB50FC" w14:textId="77777777" w:rsidR="00203B91" w:rsidRDefault="00457777" w:rsidP="00AE3AA6">
            <w:pPr>
              <w:jc w:val="left"/>
            </w:pPr>
            <w:r w:rsidRPr="00457777">
              <w:t>Business Jungleは、スタートアップの創業・事業成長に必要な要素を、点ではなく線と面で支えることを目指す。</w:t>
            </w:r>
          </w:p>
          <w:p w14:paraId="420130BF" w14:textId="77777777" w:rsidR="00203B91" w:rsidRDefault="00457777" w:rsidP="00AE3AA6">
            <w:pPr>
              <w:jc w:val="left"/>
            </w:pPr>
            <w:r w:rsidRPr="00457777">
              <w:t>事業アイデアの整理や</w:t>
            </w:r>
            <w:r w:rsidR="0004516B">
              <w:rPr>
                <w:rFonts w:hint="eastAsia"/>
              </w:rPr>
              <w:t>企業理念</w:t>
            </w:r>
            <w:r w:rsidRPr="00457777">
              <w:t>の策定から、事業計画やピッチ資料、営業資料、採用ピッチ、ブランド設計、ロゴやサイト制作までを一貫したストーリーで設計し、必要に応じてコンサルティングや継続的な改善支援も行う。</w:t>
            </w:r>
          </w:p>
          <w:p w14:paraId="24306B1B" w14:textId="77777777" w:rsidR="00203B91" w:rsidRDefault="00457777" w:rsidP="00AE3AA6">
            <w:pPr>
              <w:jc w:val="left"/>
            </w:pPr>
            <w:r w:rsidRPr="00457777">
              <w:lastRenderedPageBreak/>
              <w:t>単体サービスの寄せ集めではなく、顧客のフェーズや課題に応じて組み合わせを設計しやすいサービス構造とし、最初は小さな依頼から入り、信頼関係を築きながら支援領域を広げていけるようにする。</w:t>
            </w:r>
          </w:p>
          <w:p w14:paraId="2B1BA0B1" w14:textId="42B7E747" w:rsidR="003062AD" w:rsidRPr="00457777" w:rsidRDefault="00457777" w:rsidP="00AE3AA6">
            <w:pPr>
              <w:jc w:val="left"/>
            </w:pPr>
            <w:r w:rsidRPr="00457777">
              <w:t>これにより、創業前の構想段階から、成長フェーズの仕組み化まで、同じ世界観の中で伴走することが可能となる。</w:t>
            </w:r>
          </w:p>
        </w:tc>
      </w:tr>
      <w:tr w:rsidR="003062AD" w14:paraId="600A2E04" w14:textId="77777777" w:rsidTr="00AE3AA6">
        <w:tc>
          <w:tcPr>
            <w:tcW w:w="2122" w:type="dxa"/>
            <w:shd w:val="clear" w:color="auto" w:fill="F2F2F2" w:themeFill="background1" w:themeFillShade="F2"/>
          </w:tcPr>
          <w:p w14:paraId="6E227B32" w14:textId="77777777" w:rsidR="003062AD" w:rsidRDefault="00AE3AA6" w:rsidP="00AE3AA6">
            <w:pPr>
              <w:jc w:val="left"/>
            </w:pPr>
            <w:r>
              <w:rPr>
                <w:rFonts w:hint="eastAsia"/>
              </w:rPr>
              <w:lastRenderedPageBreak/>
              <w:t>Price</w:t>
            </w:r>
          </w:p>
          <w:p w14:paraId="693812E2" w14:textId="1BF7105A" w:rsidR="00AE3AA6" w:rsidRDefault="00AE3AA6" w:rsidP="00AE3AA6">
            <w:pPr>
              <w:jc w:val="left"/>
            </w:pPr>
            <w:r>
              <w:rPr>
                <w:rFonts w:hint="eastAsia"/>
              </w:rPr>
              <w:t>（価格）</w:t>
            </w:r>
          </w:p>
        </w:tc>
        <w:tc>
          <w:tcPr>
            <w:tcW w:w="6372" w:type="dxa"/>
          </w:tcPr>
          <w:p w14:paraId="67529398" w14:textId="77777777" w:rsidR="00982837" w:rsidRDefault="00457777" w:rsidP="00AE3AA6">
            <w:pPr>
              <w:jc w:val="left"/>
            </w:pPr>
            <w:r w:rsidRPr="00457777">
              <w:t>価格設計では、スタートアップが利用しやすい水準と、ビジネスとしての持続性のバランスを重視する。</w:t>
            </w:r>
          </w:p>
          <w:p w14:paraId="096A5DC4" w14:textId="77777777" w:rsidR="00982837" w:rsidRDefault="00457777" w:rsidP="00AE3AA6">
            <w:pPr>
              <w:jc w:val="left"/>
            </w:pPr>
            <w:r w:rsidRPr="00457777">
              <w:t>単価を過度に引き上げて少数の顧客にしか届かない状態にするのではなく、必要最低限の構成から始められるプランと、より深い伴走や複数サービスを組み合わせたプランを段階的に用意し、フェーズに応じて選択できるようにする。</w:t>
            </w:r>
          </w:p>
          <w:p w14:paraId="0472E8F8" w14:textId="673ADD34" w:rsidR="00982837" w:rsidRDefault="00457777" w:rsidP="00AE3AA6">
            <w:pPr>
              <w:jc w:val="left"/>
            </w:pPr>
            <w:r w:rsidRPr="00457777">
              <w:t>サービスごとの料金を明示しつつ、</w:t>
            </w:r>
            <w:r w:rsidR="00982837">
              <w:rPr>
                <w:rFonts w:hint="eastAsia"/>
              </w:rPr>
              <w:t>サービスごとに3つのプランを</w:t>
            </w:r>
            <w:r w:rsidRPr="00457777">
              <w:t>設計する</w:t>
            </w:r>
            <w:r w:rsidR="00982837">
              <w:rPr>
                <w:rFonts w:hint="eastAsia"/>
              </w:rPr>
              <w:t>など</w:t>
            </w:r>
            <w:r w:rsidRPr="00457777">
              <w:t>、</w:t>
            </w:r>
            <w:r w:rsidR="00982837">
              <w:rPr>
                <w:rFonts w:hint="eastAsia"/>
              </w:rPr>
              <w:t>顧客に応じたサービスを提供できるように工夫する</w:t>
            </w:r>
            <w:r w:rsidRPr="00457777">
              <w:t>。</w:t>
            </w:r>
          </w:p>
          <w:p w14:paraId="273965FC" w14:textId="509BCF77" w:rsidR="003062AD" w:rsidRDefault="00457777" w:rsidP="00AE3AA6">
            <w:pPr>
              <w:jc w:val="left"/>
            </w:pPr>
            <w:r w:rsidRPr="00457777">
              <w:t>また、単発で終わるのではなく、継続的な支援やアップデートの価値を伝えることで、長期的な関係性から得られるリターンまで含めて納得感のある価格体系を目指す。</w:t>
            </w:r>
          </w:p>
        </w:tc>
      </w:tr>
      <w:tr w:rsidR="003062AD" w14:paraId="17E98F57" w14:textId="77777777" w:rsidTr="00AE3AA6">
        <w:tc>
          <w:tcPr>
            <w:tcW w:w="2122" w:type="dxa"/>
            <w:shd w:val="clear" w:color="auto" w:fill="F2F2F2" w:themeFill="background1" w:themeFillShade="F2"/>
          </w:tcPr>
          <w:p w14:paraId="1B031FA9" w14:textId="77777777" w:rsidR="00AE3AA6" w:rsidRDefault="00AE3AA6" w:rsidP="00AE3AA6">
            <w:pPr>
              <w:jc w:val="left"/>
            </w:pPr>
            <w:r>
              <w:rPr>
                <w:rFonts w:hint="eastAsia"/>
              </w:rPr>
              <w:t>Place</w:t>
            </w:r>
          </w:p>
          <w:p w14:paraId="726FC3F0" w14:textId="3758CDF9" w:rsidR="003062AD" w:rsidRDefault="00AE3AA6" w:rsidP="00AE3AA6">
            <w:pPr>
              <w:jc w:val="left"/>
            </w:pPr>
            <w:r>
              <w:rPr>
                <w:rFonts w:hint="eastAsia"/>
              </w:rPr>
              <w:t>（販売方法）</w:t>
            </w:r>
          </w:p>
        </w:tc>
        <w:tc>
          <w:tcPr>
            <w:tcW w:w="6372" w:type="dxa"/>
          </w:tcPr>
          <w:p w14:paraId="518A681F" w14:textId="77777777" w:rsidR="00FF5086" w:rsidRDefault="00457777" w:rsidP="00AE3AA6">
            <w:pPr>
              <w:jc w:val="left"/>
            </w:pPr>
            <w:r w:rsidRPr="00457777">
              <w:t>販売チャネルはオンラインを中心とし、スタートアップが必要なタイミングで必要な情報にアクセスできる状態をつくる。</w:t>
            </w:r>
          </w:p>
          <w:p w14:paraId="54551227" w14:textId="77777777" w:rsidR="00FF5086" w:rsidRDefault="00457777" w:rsidP="00AE3AA6">
            <w:pPr>
              <w:jc w:val="left"/>
            </w:pPr>
            <w:r w:rsidRPr="00457777">
              <w:t>各サービスを一覧できる構成としつつ、創業準備、資金調達、採用強化、営業強化など、フェーズや目的別に導線を分かりやすく整理することで、自分に合った入り口を見つけやすくする。</w:t>
            </w:r>
          </w:p>
          <w:p w14:paraId="2C1F15F7" w14:textId="77777777" w:rsidR="00FF5086" w:rsidRDefault="00457777" w:rsidP="00AE3AA6">
            <w:pPr>
              <w:jc w:val="left"/>
            </w:pPr>
            <w:r w:rsidRPr="00457777">
              <w:t>問い合わせ前からサービスの概要や料金イメージが把握できるようにすることで、不必要な心理的ハードルを下げ、相談までの距離を縮めることも意識する。</w:t>
            </w:r>
          </w:p>
          <w:p w14:paraId="44BCBE9E" w14:textId="5EA647D8" w:rsidR="003062AD" w:rsidRDefault="00457777" w:rsidP="00AE3AA6">
            <w:pPr>
              <w:jc w:val="left"/>
            </w:pPr>
            <w:r w:rsidRPr="00457777">
              <w:t>また、オンライン面談やチャットを活用し、拠点やエリアに縛られずに支援できる体制を整えることで、地方のスタートアップや副業起業家にもアクセスしやすいプラットフォームとして機能させていく。</w:t>
            </w:r>
          </w:p>
        </w:tc>
      </w:tr>
      <w:tr w:rsidR="003062AD" w14:paraId="5A383DBF" w14:textId="77777777" w:rsidTr="00AE3AA6">
        <w:tc>
          <w:tcPr>
            <w:tcW w:w="2122" w:type="dxa"/>
            <w:shd w:val="clear" w:color="auto" w:fill="F2F2F2" w:themeFill="background1" w:themeFillShade="F2"/>
          </w:tcPr>
          <w:p w14:paraId="4F5D8883" w14:textId="77777777" w:rsidR="003062AD" w:rsidRDefault="00AE3AA6" w:rsidP="00AE3AA6">
            <w:pPr>
              <w:jc w:val="left"/>
            </w:pPr>
            <w:r>
              <w:rPr>
                <w:rFonts w:hint="eastAsia"/>
              </w:rPr>
              <w:t>Promotion</w:t>
            </w:r>
          </w:p>
          <w:p w14:paraId="65B46B8B" w14:textId="28602FF1" w:rsidR="00AE3AA6" w:rsidRDefault="00AE3AA6" w:rsidP="00AE3AA6">
            <w:pPr>
              <w:jc w:val="left"/>
            </w:pPr>
            <w:r>
              <w:rPr>
                <w:rFonts w:hint="eastAsia"/>
              </w:rPr>
              <w:t>（販促方法）</w:t>
            </w:r>
          </w:p>
        </w:tc>
        <w:tc>
          <w:tcPr>
            <w:tcW w:w="6372" w:type="dxa"/>
          </w:tcPr>
          <w:p w14:paraId="28BF7369" w14:textId="77777777" w:rsidR="009951AF" w:rsidRDefault="00457777" w:rsidP="00AE3AA6">
            <w:pPr>
              <w:jc w:val="left"/>
            </w:pPr>
            <w:r w:rsidRPr="00457777">
              <w:t>販促では、スタートアップが日々直面する疑問や不安に寄り添う情報発信を中心に据える。</w:t>
            </w:r>
          </w:p>
          <w:p w14:paraId="35C0BA58" w14:textId="77777777" w:rsidR="00DF693B" w:rsidRDefault="00457777" w:rsidP="00AE3AA6">
            <w:pPr>
              <w:jc w:val="left"/>
            </w:pPr>
            <w:r w:rsidRPr="00457777">
              <w:t>創業準備の進め方、事業アイデアの磨き方、事業計画やピッチ資料の考え方、</w:t>
            </w:r>
            <w:r w:rsidR="007C6246">
              <w:rPr>
                <w:rFonts w:hint="eastAsia"/>
              </w:rPr>
              <w:t>企業理念</w:t>
            </w:r>
            <w:r w:rsidRPr="00457777">
              <w:t>の整理方法などを、コラムや事例、テンプレートなどの形で発信し、まずは学びと気づきを届ける。そのう</w:t>
            </w:r>
            <w:r w:rsidRPr="00457777">
              <w:lastRenderedPageBreak/>
              <w:t>えで、もっと深く伴走してほしいと感じたタイミングで相談してもらえるよう、自然な導線を設計する。</w:t>
            </w:r>
          </w:p>
          <w:p w14:paraId="558E96B3" w14:textId="5B3FB2F1" w:rsidR="003062AD" w:rsidRDefault="00457777" w:rsidP="00AE3AA6">
            <w:pPr>
              <w:jc w:val="left"/>
            </w:pPr>
            <w:r w:rsidRPr="00457777">
              <w:t>有料広告は補完的な位置づけとし、長期的にはコンテンツと実績、口コミや紹介によって信頼を蓄積していくことを目指す。販促を単なる集客手段ではなく、スタートアップの挑戦を後押しする活動そのものと捉え、ブランドの世界観と一貫したコミュニケーションを行う。</w:t>
            </w:r>
          </w:p>
        </w:tc>
      </w:tr>
    </w:tbl>
    <w:p w14:paraId="77C9C7B9" w14:textId="77777777" w:rsidR="003062AD" w:rsidRDefault="003062AD" w:rsidP="00AE3AA6">
      <w:pPr>
        <w:jc w:val="left"/>
      </w:pPr>
    </w:p>
    <w:p w14:paraId="5A649ED5" w14:textId="77777777" w:rsidR="00F53C9D" w:rsidRDefault="00F53C9D" w:rsidP="00AE3AA6">
      <w:pPr>
        <w:jc w:val="left"/>
      </w:pPr>
    </w:p>
    <w:p w14:paraId="7EA850A6" w14:textId="692BE688" w:rsidR="003062AD" w:rsidRDefault="003062AD" w:rsidP="00AE3AA6">
      <w:pPr>
        <w:jc w:val="left"/>
        <w:rPr>
          <w:b/>
          <w:bCs/>
        </w:rPr>
      </w:pPr>
      <w:r w:rsidRPr="00AE3AA6">
        <w:rPr>
          <w:rFonts w:hint="eastAsia"/>
          <w:b/>
          <w:bCs/>
        </w:rPr>
        <w:t>活動計画</w:t>
      </w:r>
    </w:p>
    <w:p w14:paraId="7CE46A16" w14:textId="20785972" w:rsidR="00AA3A51" w:rsidRPr="00AA3A51" w:rsidRDefault="00AA3A51" w:rsidP="00AE3AA6">
      <w:pPr>
        <w:jc w:val="left"/>
      </w:pPr>
      <w:r w:rsidRPr="00AA3A51">
        <w:t>短期は高需要領域で実績を積み、中期にサービス統合と効率化を進め、最終的にはエコシステムとして拡張する。</w:t>
      </w:r>
    </w:p>
    <w:tbl>
      <w:tblPr>
        <w:tblStyle w:val="aa"/>
        <w:tblW w:w="8500" w:type="dxa"/>
        <w:tblLayout w:type="fixed"/>
        <w:tblLook w:val="04A0" w:firstRow="1" w:lastRow="0" w:firstColumn="1" w:lastColumn="0" w:noHBand="0" w:noVBand="1"/>
      </w:tblPr>
      <w:tblGrid>
        <w:gridCol w:w="2122"/>
        <w:gridCol w:w="6378"/>
      </w:tblGrid>
      <w:tr w:rsidR="00A16849" w14:paraId="0CB13F8A" w14:textId="77777777" w:rsidTr="00A16849">
        <w:tc>
          <w:tcPr>
            <w:tcW w:w="2122" w:type="dxa"/>
            <w:shd w:val="clear" w:color="auto" w:fill="F2F2F2" w:themeFill="background1" w:themeFillShade="F2"/>
          </w:tcPr>
          <w:p w14:paraId="383A94F2" w14:textId="6381D9A3" w:rsidR="00A16849" w:rsidRPr="00457777" w:rsidRDefault="00A16849" w:rsidP="00457777">
            <w:pPr>
              <w:jc w:val="left"/>
            </w:pPr>
            <w:r>
              <w:rPr>
                <w:rFonts w:hint="eastAsia"/>
              </w:rPr>
              <w:t>活動計画</w:t>
            </w:r>
          </w:p>
        </w:tc>
        <w:tc>
          <w:tcPr>
            <w:tcW w:w="6378" w:type="dxa"/>
          </w:tcPr>
          <w:p w14:paraId="031824F4" w14:textId="77777777" w:rsidR="00495B3B" w:rsidRDefault="00A16849" w:rsidP="00457777">
            <w:pPr>
              <w:jc w:val="left"/>
            </w:pPr>
            <w:r w:rsidRPr="00457777">
              <w:t>事業は短期的な受注獲得だけでなく、長期的に価値が蓄積される構造を持つことを前提に、段階的にフェーズを分けて推進していく。</w:t>
            </w:r>
          </w:p>
          <w:p w14:paraId="5DF57771" w14:textId="24C31F17" w:rsidR="00A16849" w:rsidRPr="00457777" w:rsidRDefault="00A16849" w:rsidP="00457777">
            <w:pPr>
              <w:jc w:val="left"/>
            </w:pPr>
            <w:r w:rsidRPr="00457777">
              <w:t>初期フェーズでは、需要が最も高く依頼が発生しやすい資料作成・事業計画・創業支援</w:t>
            </w:r>
            <w:r w:rsidR="00495B3B">
              <w:rPr>
                <w:rFonts w:hint="eastAsia"/>
              </w:rPr>
              <w:t>といった</w:t>
            </w:r>
            <w:r w:rsidRPr="00457777">
              <w:t>領域からサービス提供を開始し、単発案件を通じた信頼獲得と実績構築を優先する。同時に、ブランド構築、Web制作など、周辺領域への展開を可能とするサービス設計と仕組みづくりを行い、小さな依頼から広がる導線を整備する。</w:t>
            </w:r>
          </w:p>
          <w:p w14:paraId="2CF405FD" w14:textId="77777777" w:rsidR="00A16849" w:rsidRPr="00457777" w:rsidRDefault="00A16849" w:rsidP="00457777">
            <w:pPr>
              <w:jc w:val="left"/>
            </w:pPr>
            <w:r w:rsidRPr="00457777">
              <w:t>中期フェーズでは、複数のサービスを利用する顧客が増えることを前提に、顧客管理とサービス連携の仕組みを強化し、LTVを最大化するモデルへシフトしていく。また、累積したノウハウを体系化し、テンプレート、フレームワーク、診断ツールなどとして再利用可能な形にすることで、提供効率と再現性を高める。</w:t>
            </w:r>
          </w:p>
          <w:p w14:paraId="441FA2B1" w14:textId="007BC58E" w:rsidR="00A16849" w:rsidRPr="00457777" w:rsidRDefault="00A16849" w:rsidP="00AE3AA6">
            <w:pPr>
              <w:jc w:val="left"/>
            </w:pPr>
            <w:r w:rsidRPr="00457777">
              <w:t>将来的には、個別サービスの提供者と利用者をつなぐプラットフォームとして拡張し、自社サービスだけでなく外部パートナーとも連携したエコシステムを構築する。最終的な目的は「スタートアップが事業に必要なすべてをワンストップで調達できる状態」を実現し、創業や事業成長の敷居を下げる基盤をつくることである。</w:t>
            </w:r>
          </w:p>
        </w:tc>
      </w:tr>
    </w:tbl>
    <w:p w14:paraId="0F5FABC6" w14:textId="77777777" w:rsidR="003062AD" w:rsidRDefault="003062AD" w:rsidP="00AE3AA6">
      <w:pPr>
        <w:jc w:val="left"/>
      </w:pPr>
    </w:p>
    <w:p w14:paraId="47EB7F16" w14:textId="77777777" w:rsidR="00F53C9D" w:rsidRDefault="00F53C9D" w:rsidP="00AE3AA6">
      <w:pPr>
        <w:jc w:val="left"/>
      </w:pPr>
    </w:p>
    <w:p w14:paraId="0B02D873" w14:textId="059B9C4E" w:rsidR="003062AD" w:rsidRDefault="003062AD" w:rsidP="00AE3AA6">
      <w:pPr>
        <w:jc w:val="left"/>
        <w:rPr>
          <w:b/>
          <w:bCs/>
        </w:rPr>
      </w:pPr>
      <w:r w:rsidRPr="00AE3AA6">
        <w:rPr>
          <w:rFonts w:hint="eastAsia"/>
          <w:b/>
          <w:bCs/>
        </w:rPr>
        <w:t>財務計画</w:t>
      </w:r>
    </w:p>
    <w:p w14:paraId="44490203" w14:textId="4DF01C16" w:rsidR="00AA3A51" w:rsidRPr="00AA3A51" w:rsidRDefault="00AA3A51" w:rsidP="00AE3AA6">
      <w:pPr>
        <w:jc w:val="left"/>
      </w:pPr>
      <w:r w:rsidRPr="00AA3A51">
        <w:lastRenderedPageBreak/>
        <w:t>単発収益ではなくLTVを軸とした継続収益モデルを設計し、中長期で収益の安定化とサービス投資を両立する。</w:t>
      </w:r>
    </w:p>
    <w:tbl>
      <w:tblPr>
        <w:tblStyle w:val="aa"/>
        <w:tblW w:w="8500" w:type="dxa"/>
        <w:tblLayout w:type="fixed"/>
        <w:tblLook w:val="04A0" w:firstRow="1" w:lastRow="0" w:firstColumn="1" w:lastColumn="0" w:noHBand="0" w:noVBand="1"/>
      </w:tblPr>
      <w:tblGrid>
        <w:gridCol w:w="1415"/>
        <w:gridCol w:w="3542"/>
        <w:gridCol w:w="3543"/>
      </w:tblGrid>
      <w:tr w:rsidR="00A16849" w14:paraId="7DD3765A" w14:textId="77777777" w:rsidTr="009A283F">
        <w:tc>
          <w:tcPr>
            <w:tcW w:w="8500" w:type="dxa"/>
            <w:gridSpan w:val="3"/>
            <w:shd w:val="clear" w:color="auto" w:fill="F2F2F2" w:themeFill="background1" w:themeFillShade="F2"/>
          </w:tcPr>
          <w:p w14:paraId="00880925" w14:textId="7C9A3F2E" w:rsidR="00A16849" w:rsidRDefault="00A16849" w:rsidP="00A16849">
            <w:pPr>
              <w:jc w:val="left"/>
            </w:pPr>
            <w:r>
              <w:rPr>
                <w:rFonts w:hint="eastAsia"/>
              </w:rPr>
              <w:t>数値推移</w:t>
            </w:r>
          </w:p>
        </w:tc>
      </w:tr>
      <w:tr w:rsidR="00A16849" w14:paraId="0B0CB097" w14:textId="77777777" w:rsidTr="00A16849">
        <w:tc>
          <w:tcPr>
            <w:tcW w:w="1415" w:type="dxa"/>
            <w:shd w:val="clear" w:color="auto" w:fill="F2F2F2" w:themeFill="background1" w:themeFillShade="F2"/>
          </w:tcPr>
          <w:p w14:paraId="4FF0AD6F" w14:textId="11558003" w:rsidR="00A16849" w:rsidRDefault="00A16849" w:rsidP="00AE3AA6">
            <w:pPr>
              <w:jc w:val="left"/>
            </w:pPr>
            <w:r>
              <w:rPr>
                <w:rFonts w:hint="eastAsia"/>
              </w:rPr>
              <w:t>年度</w:t>
            </w:r>
          </w:p>
        </w:tc>
        <w:tc>
          <w:tcPr>
            <w:tcW w:w="3542" w:type="dxa"/>
            <w:shd w:val="clear" w:color="auto" w:fill="F2F2F2" w:themeFill="background1" w:themeFillShade="F2"/>
          </w:tcPr>
          <w:p w14:paraId="5F3A5576" w14:textId="042F7D8A" w:rsidR="00A16849" w:rsidRDefault="00A16849" w:rsidP="00163518">
            <w:pPr>
              <w:jc w:val="right"/>
            </w:pPr>
            <w:r>
              <w:rPr>
                <w:rFonts w:hint="eastAsia"/>
              </w:rPr>
              <w:t>売上（万円）</w:t>
            </w:r>
          </w:p>
        </w:tc>
        <w:tc>
          <w:tcPr>
            <w:tcW w:w="3543" w:type="dxa"/>
            <w:shd w:val="clear" w:color="auto" w:fill="F2F2F2" w:themeFill="background1" w:themeFillShade="F2"/>
          </w:tcPr>
          <w:p w14:paraId="5BED7D69" w14:textId="2CEFC690" w:rsidR="00A16849" w:rsidRDefault="00A16849" w:rsidP="00163518">
            <w:pPr>
              <w:jc w:val="right"/>
            </w:pPr>
            <w:r>
              <w:rPr>
                <w:rFonts w:hint="eastAsia"/>
              </w:rPr>
              <w:t>当期純利益（万円）</w:t>
            </w:r>
          </w:p>
        </w:tc>
      </w:tr>
      <w:tr w:rsidR="00A16849" w14:paraId="1BD2D811" w14:textId="77777777" w:rsidTr="00A16849">
        <w:tc>
          <w:tcPr>
            <w:tcW w:w="1415" w:type="dxa"/>
          </w:tcPr>
          <w:p w14:paraId="00DF59D7" w14:textId="28852617" w:rsidR="00A16849" w:rsidRDefault="00A16849" w:rsidP="00AE3AA6">
            <w:pPr>
              <w:jc w:val="left"/>
            </w:pPr>
            <w:r>
              <w:rPr>
                <w:rFonts w:hint="eastAsia"/>
              </w:rPr>
              <w:t>XX年</w:t>
            </w:r>
          </w:p>
        </w:tc>
        <w:tc>
          <w:tcPr>
            <w:tcW w:w="3542" w:type="dxa"/>
          </w:tcPr>
          <w:p w14:paraId="13863D70" w14:textId="277FD921" w:rsidR="00A16849" w:rsidRDefault="00163518" w:rsidP="00163518">
            <w:pPr>
              <w:jc w:val="right"/>
            </w:pPr>
            <w:r>
              <w:t>1,200</w:t>
            </w:r>
          </w:p>
        </w:tc>
        <w:tc>
          <w:tcPr>
            <w:tcW w:w="3543" w:type="dxa"/>
          </w:tcPr>
          <w:p w14:paraId="1FEFAB3C" w14:textId="21C7FEBB" w:rsidR="00A16849" w:rsidRDefault="00163518" w:rsidP="00163518">
            <w:pPr>
              <w:jc w:val="right"/>
            </w:pPr>
            <w:r>
              <w:t>60</w:t>
            </w:r>
          </w:p>
        </w:tc>
      </w:tr>
      <w:tr w:rsidR="00A16849" w14:paraId="46108511" w14:textId="77777777" w:rsidTr="00A16849">
        <w:tc>
          <w:tcPr>
            <w:tcW w:w="1415" w:type="dxa"/>
          </w:tcPr>
          <w:p w14:paraId="02B7CE95" w14:textId="4E2F37E5" w:rsidR="00A16849" w:rsidRDefault="00A16849" w:rsidP="00AE3AA6">
            <w:pPr>
              <w:jc w:val="left"/>
            </w:pPr>
            <w:r>
              <w:rPr>
                <w:rFonts w:hint="eastAsia"/>
              </w:rPr>
              <w:t>XX年</w:t>
            </w:r>
          </w:p>
        </w:tc>
        <w:tc>
          <w:tcPr>
            <w:tcW w:w="3542" w:type="dxa"/>
          </w:tcPr>
          <w:p w14:paraId="607CEBC4" w14:textId="5F847768" w:rsidR="00A16849" w:rsidRDefault="00163518" w:rsidP="00163518">
            <w:pPr>
              <w:jc w:val="right"/>
            </w:pPr>
            <w:r>
              <w:t>2,400</w:t>
            </w:r>
          </w:p>
        </w:tc>
        <w:tc>
          <w:tcPr>
            <w:tcW w:w="3543" w:type="dxa"/>
          </w:tcPr>
          <w:p w14:paraId="336D9C8B" w14:textId="2F760ECD" w:rsidR="00A16849" w:rsidRDefault="00163518" w:rsidP="00163518">
            <w:pPr>
              <w:jc w:val="right"/>
            </w:pPr>
            <w:r>
              <w:t>240</w:t>
            </w:r>
          </w:p>
        </w:tc>
      </w:tr>
      <w:tr w:rsidR="00A16849" w14:paraId="0BC5E81E" w14:textId="77777777" w:rsidTr="00A16849">
        <w:tc>
          <w:tcPr>
            <w:tcW w:w="1415" w:type="dxa"/>
          </w:tcPr>
          <w:p w14:paraId="02CDBFDC" w14:textId="048021D7" w:rsidR="00A16849" w:rsidRDefault="00A16849" w:rsidP="00AE3AA6">
            <w:pPr>
              <w:jc w:val="left"/>
            </w:pPr>
            <w:r>
              <w:rPr>
                <w:rFonts w:hint="eastAsia"/>
              </w:rPr>
              <w:t>XX年</w:t>
            </w:r>
          </w:p>
        </w:tc>
        <w:tc>
          <w:tcPr>
            <w:tcW w:w="3542" w:type="dxa"/>
          </w:tcPr>
          <w:p w14:paraId="2A4616DE" w14:textId="73C0CF75" w:rsidR="00A16849" w:rsidRDefault="00163518" w:rsidP="00163518">
            <w:pPr>
              <w:jc w:val="right"/>
            </w:pPr>
            <w:r>
              <w:t>4,800</w:t>
            </w:r>
          </w:p>
        </w:tc>
        <w:tc>
          <w:tcPr>
            <w:tcW w:w="3543" w:type="dxa"/>
          </w:tcPr>
          <w:p w14:paraId="5DE8021D" w14:textId="580793AB" w:rsidR="00A16849" w:rsidRDefault="00163518" w:rsidP="00163518">
            <w:pPr>
              <w:jc w:val="right"/>
            </w:pPr>
            <w:r>
              <w:t>720</w:t>
            </w:r>
          </w:p>
        </w:tc>
      </w:tr>
      <w:tr w:rsidR="00A16849" w14:paraId="59AD6572" w14:textId="77777777" w:rsidTr="00A16849">
        <w:tc>
          <w:tcPr>
            <w:tcW w:w="1415" w:type="dxa"/>
          </w:tcPr>
          <w:p w14:paraId="42667EF2" w14:textId="429ED9D2" w:rsidR="00A16849" w:rsidRDefault="00A16849" w:rsidP="00AE3AA6">
            <w:pPr>
              <w:jc w:val="left"/>
            </w:pPr>
            <w:r>
              <w:rPr>
                <w:rFonts w:hint="eastAsia"/>
              </w:rPr>
              <w:t>XX年</w:t>
            </w:r>
          </w:p>
        </w:tc>
        <w:tc>
          <w:tcPr>
            <w:tcW w:w="3542" w:type="dxa"/>
          </w:tcPr>
          <w:p w14:paraId="7120DEA8" w14:textId="4D737484" w:rsidR="00A16849" w:rsidRDefault="00163518" w:rsidP="00163518">
            <w:pPr>
              <w:jc w:val="right"/>
            </w:pPr>
            <w:r>
              <w:t>9,600</w:t>
            </w:r>
          </w:p>
        </w:tc>
        <w:tc>
          <w:tcPr>
            <w:tcW w:w="3543" w:type="dxa"/>
          </w:tcPr>
          <w:p w14:paraId="150ABD95" w14:textId="2B9E332E" w:rsidR="00A16849" w:rsidRDefault="00163518" w:rsidP="00163518">
            <w:pPr>
              <w:jc w:val="right"/>
            </w:pPr>
            <w:r>
              <w:t>1</w:t>
            </w:r>
            <w:r>
              <w:rPr>
                <w:rFonts w:hint="eastAsia"/>
              </w:rPr>
              <w:t>,</w:t>
            </w:r>
            <w:r>
              <w:t>920</w:t>
            </w:r>
          </w:p>
        </w:tc>
      </w:tr>
      <w:tr w:rsidR="00A16849" w14:paraId="77C46314" w14:textId="77777777" w:rsidTr="00A16849">
        <w:tc>
          <w:tcPr>
            <w:tcW w:w="1415" w:type="dxa"/>
          </w:tcPr>
          <w:p w14:paraId="6C19BA53" w14:textId="4280BAB4" w:rsidR="00A16849" w:rsidRDefault="00A16849" w:rsidP="00B10FF2">
            <w:pPr>
              <w:jc w:val="left"/>
            </w:pPr>
            <w:r>
              <w:rPr>
                <w:rFonts w:hint="eastAsia"/>
              </w:rPr>
              <w:t>XX年</w:t>
            </w:r>
          </w:p>
        </w:tc>
        <w:tc>
          <w:tcPr>
            <w:tcW w:w="3542" w:type="dxa"/>
          </w:tcPr>
          <w:p w14:paraId="320E0248" w14:textId="7388529B" w:rsidR="00A16849" w:rsidRDefault="00163518" w:rsidP="00163518">
            <w:pPr>
              <w:jc w:val="right"/>
            </w:pPr>
            <w:r>
              <w:t>19,200</w:t>
            </w:r>
          </w:p>
        </w:tc>
        <w:tc>
          <w:tcPr>
            <w:tcW w:w="3543" w:type="dxa"/>
          </w:tcPr>
          <w:p w14:paraId="5E7A4F02" w14:textId="1C3256A4" w:rsidR="00A16849" w:rsidRDefault="00163518" w:rsidP="00163518">
            <w:pPr>
              <w:jc w:val="right"/>
            </w:pPr>
            <w:r>
              <w:t>4</w:t>
            </w:r>
            <w:r>
              <w:rPr>
                <w:rFonts w:hint="eastAsia"/>
              </w:rPr>
              <w:t>,</w:t>
            </w:r>
            <w:r>
              <w:t>800</w:t>
            </w:r>
          </w:p>
        </w:tc>
      </w:tr>
      <w:tr w:rsidR="00A16849" w14:paraId="740D364C" w14:textId="77777777" w:rsidTr="00A16849">
        <w:tc>
          <w:tcPr>
            <w:tcW w:w="1415" w:type="dxa"/>
          </w:tcPr>
          <w:p w14:paraId="51C497F2" w14:textId="39E8FAC5" w:rsidR="00A16849" w:rsidRDefault="00A16849" w:rsidP="00B10FF2">
            <w:pPr>
              <w:jc w:val="left"/>
            </w:pPr>
            <w:r>
              <w:rPr>
                <w:rFonts w:hint="eastAsia"/>
              </w:rPr>
              <w:t>XX年</w:t>
            </w:r>
          </w:p>
        </w:tc>
        <w:tc>
          <w:tcPr>
            <w:tcW w:w="3542" w:type="dxa"/>
          </w:tcPr>
          <w:p w14:paraId="7E05EF89" w14:textId="61BBFCFE" w:rsidR="00A16849" w:rsidRDefault="00163518" w:rsidP="00163518">
            <w:pPr>
              <w:jc w:val="right"/>
            </w:pPr>
            <w:r>
              <w:t>38,400</w:t>
            </w:r>
          </w:p>
        </w:tc>
        <w:tc>
          <w:tcPr>
            <w:tcW w:w="3543" w:type="dxa"/>
          </w:tcPr>
          <w:p w14:paraId="44C345B1" w14:textId="1CA32046" w:rsidR="00A16849" w:rsidRDefault="00163518" w:rsidP="00163518">
            <w:pPr>
              <w:jc w:val="right"/>
            </w:pPr>
            <w:r>
              <w:t>11</w:t>
            </w:r>
            <w:r>
              <w:rPr>
                <w:rFonts w:hint="eastAsia"/>
              </w:rPr>
              <w:t>,</w:t>
            </w:r>
            <w:r>
              <w:t>520</w:t>
            </w:r>
          </w:p>
        </w:tc>
      </w:tr>
      <w:tr w:rsidR="00A16849" w14:paraId="08D416F6" w14:textId="77777777" w:rsidTr="00A16849">
        <w:tc>
          <w:tcPr>
            <w:tcW w:w="1415" w:type="dxa"/>
          </w:tcPr>
          <w:p w14:paraId="13DBA8E2" w14:textId="4B819240" w:rsidR="00A16849" w:rsidRDefault="00A16849" w:rsidP="00B10FF2">
            <w:pPr>
              <w:jc w:val="left"/>
            </w:pPr>
            <w:r>
              <w:rPr>
                <w:rFonts w:hint="eastAsia"/>
              </w:rPr>
              <w:t>XX年</w:t>
            </w:r>
          </w:p>
        </w:tc>
        <w:tc>
          <w:tcPr>
            <w:tcW w:w="3542" w:type="dxa"/>
          </w:tcPr>
          <w:p w14:paraId="6CEAA9AF" w14:textId="620DD390" w:rsidR="00A16849" w:rsidRDefault="00163518" w:rsidP="00163518">
            <w:pPr>
              <w:jc w:val="right"/>
            </w:pPr>
            <w:r>
              <w:t>57,600</w:t>
            </w:r>
          </w:p>
        </w:tc>
        <w:tc>
          <w:tcPr>
            <w:tcW w:w="3543" w:type="dxa"/>
          </w:tcPr>
          <w:p w14:paraId="017C98A3" w14:textId="173F5671" w:rsidR="00A16849" w:rsidRDefault="00163518" w:rsidP="00163518">
            <w:pPr>
              <w:jc w:val="right"/>
            </w:pPr>
            <w:r>
              <w:t>17</w:t>
            </w:r>
            <w:r>
              <w:rPr>
                <w:rFonts w:hint="eastAsia"/>
              </w:rPr>
              <w:t>,</w:t>
            </w:r>
            <w:r>
              <w:t>280</w:t>
            </w:r>
          </w:p>
        </w:tc>
      </w:tr>
      <w:tr w:rsidR="00A16849" w14:paraId="6D0F402C" w14:textId="77777777" w:rsidTr="00A16849">
        <w:tc>
          <w:tcPr>
            <w:tcW w:w="1415" w:type="dxa"/>
          </w:tcPr>
          <w:p w14:paraId="748A8F1D" w14:textId="7D1DC0E1" w:rsidR="00A16849" w:rsidRDefault="00A16849" w:rsidP="00B10FF2">
            <w:pPr>
              <w:jc w:val="left"/>
            </w:pPr>
            <w:r>
              <w:rPr>
                <w:rFonts w:hint="eastAsia"/>
              </w:rPr>
              <w:t>XX年</w:t>
            </w:r>
          </w:p>
        </w:tc>
        <w:tc>
          <w:tcPr>
            <w:tcW w:w="3542" w:type="dxa"/>
          </w:tcPr>
          <w:p w14:paraId="02A136B0" w14:textId="6827C551" w:rsidR="00A16849" w:rsidRDefault="00163518" w:rsidP="00163518">
            <w:pPr>
              <w:jc w:val="right"/>
            </w:pPr>
            <w:r>
              <w:t>86,400</w:t>
            </w:r>
          </w:p>
        </w:tc>
        <w:tc>
          <w:tcPr>
            <w:tcW w:w="3543" w:type="dxa"/>
          </w:tcPr>
          <w:p w14:paraId="7DBBA7D2" w14:textId="258C158D" w:rsidR="00A16849" w:rsidRDefault="00163518" w:rsidP="00163518">
            <w:pPr>
              <w:jc w:val="right"/>
            </w:pPr>
            <w:r>
              <w:t>25</w:t>
            </w:r>
            <w:r>
              <w:rPr>
                <w:rFonts w:hint="eastAsia"/>
              </w:rPr>
              <w:t>,</w:t>
            </w:r>
            <w:r>
              <w:t>920</w:t>
            </w:r>
          </w:p>
        </w:tc>
      </w:tr>
      <w:tr w:rsidR="00A16849" w14:paraId="523C6956" w14:textId="77777777" w:rsidTr="00A16849">
        <w:tc>
          <w:tcPr>
            <w:tcW w:w="1415" w:type="dxa"/>
          </w:tcPr>
          <w:p w14:paraId="3AB7CBA2" w14:textId="27276D54" w:rsidR="00A16849" w:rsidRDefault="00A16849" w:rsidP="00B10FF2">
            <w:pPr>
              <w:jc w:val="left"/>
            </w:pPr>
            <w:r>
              <w:rPr>
                <w:rFonts w:hint="eastAsia"/>
              </w:rPr>
              <w:t>XX年</w:t>
            </w:r>
          </w:p>
        </w:tc>
        <w:tc>
          <w:tcPr>
            <w:tcW w:w="3542" w:type="dxa"/>
          </w:tcPr>
          <w:p w14:paraId="380BDC78" w14:textId="0B2377DE" w:rsidR="00A16849" w:rsidRDefault="00163518" w:rsidP="00163518">
            <w:pPr>
              <w:jc w:val="right"/>
            </w:pPr>
            <w:r>
              <w:t>129,600</w:t>
            </w:r>
          </w:p>
        </w:tc>
        <w:tc>
          <w:tcPr>
            <w:tcW w:w="3543" w:type="dxa"/>
          </w:tcPr>
          <w:p w14:paraId="3A15C089" w14:textId="6E18C8D1" w:rsidR="00A16849" w:rsidRDefault="00163518" w:rsidP="00163518">
            <w:pPr>
              <w:jc w:val="right"/>
            </w:pPr>
            <w:r>
              <w:t>38</w:t>
            </w:r>
            <w:r>
              <w:rPr>
                <w:rFonts w:hint="eastAsia"/>
              </w:rPr>
              <w:t>,</w:t>
            </w:r>
            <w:r>
              <w:t>880</w:t>
            </w:r>
          </w:p>
        </w:tc>
      </w:tr>
      <w:tr w:rsidR="00A16849" w14:paraId="3181BC7E" w14:textId="77777777" w:rsidTr="00A16849">
        <w:tc>
          <w:tcPr>
            <w:tcW w:w="1415" w:type="dxa"/>
          </w:tcPr>
          <w:p w14:paraId="3A6DE7BD" w14:textId="59290E6E" w:rsidR="00A16849" w:rsidRDefault="00A16849" w:rsidP="00B10FF2">
            <w:pPr>
              <w:jc w:val="left"/>
            </w:pPr>
            <w:r>
              <w:rPr>
                <w:rFonts w:hint="eastAsia"/>
              </w:rPr>
              <w:t>XX年</w:t>
            </w:r>
          </w:p>
        </w:tc>
        <w:tc>
          <w:tcPr>
            <w:tcW w:w="3542" w:type="dxa"/>
          </w:tcPr>
          <w:p w14:paraId="25600FDC" w14:textId="5664086B" w:rsidR="00A16849" w:rsidRDefault="00163518" w:rsidP="00163518">
            <w:pPr>
              <w:jc w:val="right"/>
            </w:pPr>
            <w:r>
              <w:t>194,400</w:t>
            </w:r>
          </w:p>
        </w:tc>
        <w:tc>
          <w:tcPr>
            <w:tcW w:w="3543" w:type="dxa"/>
          </w:tcPr>
          <w:p w14:paraId="714D285C" w14:textId="7296969D" w:rsidR="00A16849" w:rsidRDefault="00163518" w:rsidP="00163518">
            <w:pPr>
              <w:jc w:val="right"/>
            </w:pPr>
            <w:r>
              <w:t>58</w:t>
            </w:r>
            <w:r>
              <w:rPr>
                <w:rFonts w:hint="eastAsia"/>
              </w:rPr>
              <w:t>,</w:t>
            </w:r>
            <w:r>
              <w:t>320</w:t>
            </w:r>
          </w:p>
        </w:tc>
      </w:tr>
    </w:tbl>
    <w:p w14:paraId="3FE826AA" w14:textId="77777777" w:rsidR="003062AD" w:rsidRDefault="003062AD" w:rsidP="00AE3AA6"/>
    <w:tbl>
      <w:tblPr>
        <w:tblStyle w:val="aa"/>
        <w:tblW w:w="8500" w:type="dxa"/>
        <w:tblLayout w:type="fixed"/>
        <w:tblLook w:val="04A0" w:firstRow="1" w:lastRow="0" w:firstColumn="1" w:lastColumn="0" w:noHBand="0" w:noVBand="1"/>
      </w:tblPr>
      <w:tblGrid>
        <w:gridCol w:w="8500"/>
      </w:tblGrid>
      <w:tr w:rsidR="00A16849" w14:paraId="1027ADC1" w14:textId="77777777" w:rsidTr="00973C4F">
        <w:tc>
          <w:tcPr>
            <w:tcW w:w="4254" w:type="dxa"/>
            <w:shd w:val="clear" w:color="auto" w:fill="F2F2F2" w:themeFill="background1" w:themeFillShade="F2"/>
          </w:tcPr>
          <w:p w14:paraId="04F39855" w14:textId="77777777" w:rsidR="00A16849" w:rsidRDefault="00A16849" w:rsidP="00973C4F">
            <w:pPr>
              <w:jc w:val="left"/>
            </w:pPr>
            <w:r>
              <w:rPr>
                <w:rFonts w:hint="eastAsia"/>
              </w:rPr>
              <w:t>数値根拠</w:t>
            </w:r>
          </w:p>
        </w:tc>
      </w:tr>
      <w:tr w:rsidR="00A16849" w:rsidRPr="00A16849" w14:paraId="3BCBD82A" w14:textId="77777777" w:rsidTr="00973C4F">
        <w:trPr>
          <w:trHeight w:val="360"/>
        </w:trPr>
        <w:tc>
          <w:tcPr>
            <w:tcW w:w="4254" w:type="dxa"/>
            <w:vMerge w:val="restart"/>
          </w:tcPr>
          <w:p w14:paraId="5D41736B" w14:textId="77777777" w:rsidR="00A16849" w:rsidRDefault="00A16849" w:rsidP="00973C4F">
            <w:pPr>
              <w:jc w:val="left"/>
            </w:pPr>
            <w:r>
              <w:rPr>
                <w:rFonts w:hint="eastAsia"/>
              </w:rPr>
              <w:t>＜売上＞</w:t>
            </w:r>
          </w:p>
          <w:p w14:paraId="32F5B374" w14:textId="77777777" w:rsidR="00A16849" w:rsidRPr="00A16849" w:rsidRDefault="00A16849" w:rsidP="00973C4F">
            <w:pPr>
              <w:pStyle w:val="a9"/>
              <w:numPr>
                <w:ilvl w:val="0"/>
                <w:numId w:val="2"/>
              </w:numPr>
            </w:pPr>
            <w:r w:rsidRPr="00A16849">
              <w:rPr>
                <w:rFonts w:hint="eastAsia"/>
              </w:rPr>
              <w:t>顧客単価×1ヵ月あたりの平均顧客数×12ヵ月＝売上、で算出</w:t>
            </w:r>
          </w:p>
          <w:p w14:paraId="16F22BFB" w14:textId="77777777" w:rsidR="00A16849" w:rsidRPr="00A16849" w:rsidRDefault="00A16849" w:rsidP="00973C4F">
            <w:pPr>
              <w:pStyle w:val="a9"/>
              <w:numPr>
                <w:ilvl w:val="0"/>
                <w:numId w:val="2"/>
              </w:numPr>
            </w:pPr>
            <w:r w:rsidRPr="00A16849">
              <w:rPr>
                <w:rFonts w:hint="eastAsia"/>
              </w:rPr>
              <w:t>1年目は、顧客単価10万円×10名×12ヵ月＝1,200万円</w:t>
            </w:r>
          </w:p>
          <w:p w14:paraId="638DF08E" w14:textId="28FD1151" w:rsidR="00A16849" w:rsidRDefault="00A16849" w:rsidP="00973C4F">
            <w:pPr>
              <w:pStyle w:val="a9"/>
              <w:numPr>
                <w:ilvl w:val="0"/>
                <w:numId w:val="2"/>
              </w:numPr>
            </w:pPr>
            <w:r w:rsidRPr="00A16849">
              <w:rPr>
                <w:rFonts w:hint="eastAsia"/>
              </w:rPr>
              <w:t>その後は、2年目から6年目まで2倍で成長し、7年目以降は1.5倍で成長すると仮定</w:t>
            </w:r>
          </w:p>
          <w:p w14:paraId="57527683" w14:textId="77777777" w:rsidR="00A16849" w:rsidRDefault="00A16849" w:rsidP="00973C4F"/>
          <w:p w14:paraId="11997442" w14:textId="77777777" w:rsidR="00A16849" w:rsidRPr="00A16849" w:rsidRDefault="00A16849" w:rsidP="00973C4F">
            <w:r>
              <w:rPr>
                <w:rFonts w:hint="eastAsia"/>
              </w:rPr>
              <w:t>＜当期純利益＞</w:t>
            </w:r>
          </w:p>
          <w:p w14:paraId="470DB456" w14:textId="77777777" w:rsidR="00A16849" w:rsidRPr="00A16849" w:rsidRDefault="00A16849" w:rsidP="00973C4F">
            <w:pPr>
              <w:pStyle w:val="a9"/>
              <w:numPr>
                <w:ilvl w:val="0"/>
                <w:numId w:val="2"/>
              </w:numPr>
            </w:pPr>
            <w:r w:rsidRPr="00A16849">
              <w:rPr>
                <w:rFonts w:hint="eastAsia"/>
              </w:rPr>
              <w:t>売上×利益率＝当期純利益、で算出</w:t>
            </w:r>
          </w:p>
          <w:p w14:paraId="73CC0F18" w14:textId="77777777" w:rsidR="00A16849" w:rsidRPr="00A16849" w:rsidRDefault="00A16849" w:rsidP="00973C4F">
            <w:pPr>
              <w:pStyle w:val="a9"/>
              <w:numPr>
                <w:ilvl w:val="0"/>
                <w:numId w:val="2"/>
              </w:numPr>
            </w:pPr>
            <w:r w:rsidRPr="00A16849">
              <w:rPr>
                <w:rFonts w:hint="eastAsia"/>
              </w:rPr>
              <w:t>1年目は、売上1,200万円×利益率5％＝60万円</w:t>
            </w:r>
          </w:p>
          <w:p w14:paraId="2B2EC1C1" w14:textId="44EF3CD2" w:rsidR="00A16849" w:rsidRPr="00A16849" w:rsidRDefault="00A16849" w:rsidP="00A16849">
            <w:pPr>
              <w:pStyle w:val="a9"/>
              <w:numPr>
                <w:ilvl w:val="0"/>
                <w:numId w:val="2"/>
              </w:numPr>
            </w:pPr>
            <w:r w:rsidRPr="00A16849">
              <w:rPr>
                <w:rFonts w:hint="eastAsia"/>
              </w:rPr>
              <w:t>その後は、2年目から6年目までは利益率が毎年5％ずつ改善し、7年目以降は横ばい（利益率30％）になると仮定</w:t>
            </w:r>
          </w:p>
        </w:tc>
      </w:tr>
      <w:tr w:rsidR="00A16849" w14:paraId="5FE85232" w14:textId="77777777" w:rsidTr="00973C4F">
        <w:trPr>
          <w:trHeight w:val="360"/>
        </w:trPr>
        <w:tc>
          <w:tcPr>
            <w:tcW w:w="4254" w:type="dxa"/>
            <w:vMerge/>
          </w:tcPr>
          <w:p w14:paraId="16308EF0" w14:textId="77777777" w:rsidR="00A16849" w:rsidRDefault="00A16849" w:rsidP="00973C4F">
            <w:pPr>
              <w:jc w:val="left"/>
            </w:pPr>
          </w:p>
        </w:tc>
      </w:tr>
      <w:tr w:rsidR="00A16849" w14:paraId="781F9EC3" w14:textId="77777777" w:rsidTr="00973C4F">
        <w:trPr>
          <w:trHeight w:val="360"/>
        </w:trPr>
        <w:tc>
          <w:tcPr>
            <w:tcW w:w="4254" w:type="dxa"/>
            <w:vMerge/>
          </w:tcPr>
          <w:p w14:paraId="6EA62D2A" w14:textId="77777777" w:rsidR="00A16849" w:rsidRDefault="00A16849" w:rsidP="00973C4F">
            <w:pPr>
              <w:jc w:val="left"/>
            </w:pPr>
          </w:p>
        </w:tc>
      </w:tr>
      <w:tr w:rsidR="00A16849" w14:paraId="483D3BC7" w14:textId="77777777" w:rsidTr="00973C4F">
        <w:trPr>
          <w:trHeight w:val="360"/>
        </w:trPr>
        <w:tc>
          <w:tcPr>
            <w:tcW w:w="4254" w:type="dxa"/>
            <w:vMerge/>
          </w:tcPr>
          <w:p w14:paraId="701A9E71" w14:textId="77777777" w:rsidR="00A16849" w:rsidRDefault="00A16849" w:rsidP="00973C4F">
            <w:pPr>
              <w:jc w:val="left"/>
            </w:pPr>
          </w:p>
        </w:tc>
      </w:tr>
      <w:tr w:rsidR="00A16849" w14:paraId="40EAB6F4" w14:textId="77777777" w:rsidTr="00973C4F">
        <w:trPr>
          <w:trHeight w:val="360"/>
        </w:trPr>
        <w:tc>
          <w:tcPr>
            <w:tcW w:w="4254" w:type="dxa"/>
            <w:vMerge/>
          </w:tcPr>
          <w:p w14:paraId="702B1C54" w14:textId="77777777" w:rsidR="00A16849" w:rsidRDefault="00A16849" w:rsidP="00973C4F">
            <w:pPr>
              <w:jc w:val="left"/>
            </w:pPr>
          </w:p>
        </w:tc>
      </w:tr>
      <w:tr w:rsidR="00A16849" w14:paraId="5E081640" w14:textId="77777777" w:rsidTr="00973C4F">
        <w:trPr>
          <w:trHeight w:val="360"/>
        </w:trPr>
        <w:tc>
          <w:tcPr>
            <w:tcW w:w="4254" w:type="dxa"/>
            <w:vMerge/>
          </w:tcPr>
          <w:p w14:paraId="077992F9" w14:textId="77777777" w:rsidR="00A16849" w:rsidRDefault="00A16849" w:rsidP="00973C4F">
            <w:pPr>
              <w:jc w:val="left"/>
            </w:pPr>
          </w:p>
        </w:tc>
      </w:tr>
      <w:tr w:rsidR="00A16849" w14:paraId="7D49DA63" w14:textId="77777777" w:rsidTr="00973C4F">
        <w:trPr>
          <w:trHeight w:val="360"/>
        </w:trPr>
        <w:tc>
          <w:tcPr>
            <w:tcW w:w="4254" w:type="dxa"/>
            <w:vMerge/>
          </w:tcPr>
          <w:p w14:paraId="774A6D23" w14:textId="77777777" w:rsidR="00A16849" w:rsidRDefault="00A16849" w:rsidP="00973C4F">
            <w:pPr>
              <w:jc w:val="left"/>
            </w:pPr>
          </w:p>
        </w:tc>
      </w:tr>
      <w:tr w:rsidR="00A16849" w14:paraId="1FA039DB" w14:textId="77777777" w:rsidTr="00973C4F">
        <w:trPr>
          <w:trHeight w:val="360"/>
        </w:trPr>
        <w:tc>
          <w:tcPr>
            <w:tcW w:w="4254" w:type="dxa"/>
            <w:vMerge/>
          </w:tcPr>
          <w:p w14:paraId="154BFFC7" w14:textId="77777777" w:rsidR="00A16849" w:rsidRDefault="00A16849" w:rsidP="00973C4F">
            <w:pPr>
              <w:jc w:val="left"/>
            </w:pPr>
          </w:p>
        </w:tc>
      </w:tr>
      <w:tr w:rsidR="00A16849" w14:paraId="635F4F9E" w14:textId="77777777" w:rsidTr="00973C4F">
        <w:trPr>
          <w:trHeight w:val="360"/>
        </w:trPr>
        <w:tc>
          <w:tcPr>
            <w:tcW w:w="4254" w:type="dxa"/>
            <w:vMerge/>
          </w:tcPr>
          <w:p w14:paraId="60D841C0" w14:textId="77777777" w:rsidR="00A16849" w:rsidRDefault="00A16849" w:rsidP="00973C4F">
            <w:pPr>
              <w:jc w:val="left"/>
            </w:pPr>
          </w:p>
        </w:tc>
      </w:tr>
      <w:tr w:rsidR="00A16849" w14:paraId="3CDCAAA9" w14:textId="77777777" w:rsidTr="00973C4F">
        <w:trPr>
          <w:trHeight w:val="360"/>
        </w:trPr>
        <w:tc>
          <w:tcPr>
            <w:tcW w:w="4254" w:type="dxa"/>
            <w:vMerge/>
          </w:tcPr>
          <w:p w14:paraId="5A7E5DAD" w14:textId="77777777" w:rsidR="00A16849" w:rsidRDefault="00A16849" w:rsidP="00973C4F">
            <w:pPr>
              <w:jc w:val="left"/>
            </w:pPr>
          </w:p>
        </w:tc>
      </w:tr>
    </w:tbl>
    <w:p w14:paraId="04E738A4" w14:textId="77777777" w:rsidR="00A16849" w:rsidRPr="00A16849" w:rsidRDefault="00A16849" w:rsidP="00E74B92"/>
    <w:sectPr w:rsidR="00A16849" w:rsidRPr="00A1684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C33C" w14:textId="77777777" w:rsidR="00C60167" w:rsidRDefault="00C60167" w:rsidP="000B6F6B">
      <w:r>
        <w:separator/>
      </w:r>
    </w:p>
  </w:endnote>
  <w:endnote w:type="continuationSeparator" w:id="0">
    <w:p w14:paraId="00761149" w14:textId="77777777" w:rsidR="00C60167" w:rsidRDefault="00C60167" w:rsidP="000B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605736"/>
      <w:docPartObj>
        <w:docPartGallery w:val="Page Numbers (Bottom of Page)"/>
        <w:docPartUnique/>
      </w:docPartObj>
    </w:sdtPr>
    <w:sdtContent>
      <w:p w14:paraId="533E0F8B" w14:textId="5A2AD565" w:rsidR="000B6F6B" w:rsidRDefault="000B6F6B">
        <w:pPr>
          <w:pStyle w:val="ad"/>
          <w:jc w:val="center"/>
        </w:pPr>
        <w:r>
          <w:fldChar w:fldCharType="begin"/>
        </w:r>
        <w:r>
          <w:instrText>PAGE   \* MERGEFORMAT</w:instrText>
        </w:r>
        <w:r>
          <w:fldChar w:fldCharType="separate"/>
        </w:r>
        <w:r>
          <w:rPr>
            <w:lang w:val="ja-JP"/>
          </w:rPr>
          <w:t>2</w:t>
        </w:r>
        <w:r>
          <w:fldChar w:fldCharType="end"/>
        </w:r>
      </w:p>
    </w:sdtContent>
  </w:sdt>
  <w:p w14:paraId="62FD044B" w14:textId="77777777" w:rsidR="000B6F6B" w:rsidRDefault="000B6F6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8E3BD" w14:textId="77777777" w:rsidR="00C60167" w:rsidRDefault="00C60167" w:rsidP="000B6F6B">
      <w:r>
        <w:separator/>
      </w:r>
    </w:p>
  </w:footnote>
  <w:footnote w:type="continuationSeparator" w:id="0">
    <w:p w14:paraId="564C1962" w14:textId="77777777" w:rsidR="00C60167" w:rsidRDefault="00C60167" w:rsidP="000B6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1C7F"/>
    <w:multiLevelType w:val="hybridMultilevel"/>
    <w:tmpl w:val="E3E43306"/>
    <w:lvl w:ilvl="0" w:tplc="FC0E58B0">
      <w:start w:val="1"/>
      <w:numFmt w:val="bullet"/>
      <w:lvlText w:val=""/>
      <w:lvlJc w:val="left"/>
      <w:pPr>
        <w:tabs>
          <w:tab w:val="num" w:pos="720"/>
        </w:tabs>
        <w:ind w:left="720" w:hanging="360"/>
      </w:pPr>
      <w:rPr>
        <w:rFonts w:ascii="Wingdings" w:hAnsi="Wingdings" w:hint="default"/>
      </w:rPr>
    </w:lvl>
    <w:lvl w:ilvl="1" w:tplc="F222B30A" w:tentative="1">
      <w:start w:val="1"/>
      <w:numFmt w:val="bullet"/>
      <w:lvlText w:val=""/>
      <w:lvlJc w:val="left"/>
      <w:pPr>
        <w:tabs>
          <w:tab w:val="num" w:pos="1440"/>
        </w:tabs>
        <w:ind w:left="1440" w:hanging="360"/>
      </w:pPr>
      <w:rPr>
        <w:rFonts w:ascii="Wingdings" w:hAnsi="Wingdings" w:hint="default"/>
      </w:rPr>
    </w:lvl>
    <w:lvl w:ilvl="2" w:tplc="02060354" w:tentative="1">
      <w:start w:val="1"/>
      <w:numFmt w:val="bullet"/>
      <w:lvlText w:val=""/>
      <w:lvlJc w:val="left"/>
      <w:pPr>
        <w:tabs>
          <w:tab w:val="num" w:pos="2160"/>
        </w:tabs>
        <w:ind w:left="2160" w:hanging="360"/>
      </w:pPr>
      <w:rPr>
        <w:rFonts w:ascii="Wingdings" w:hAnsi="Wingdings" w:hint="default"/>
      </w:rPr>
    </w:lvl>
    <w:lvl w:ilvl="3" w:tplc="1CEC01CA" w:tentative="1">
      <w:start w:val="1"/>
      <w:numFmt w:val="bullet"/>
      <w:lvlText w:val=""/>
      <w:lvlJc w:val="left"/>
      <w:pPr>
        <w:tabs>
          <w:tab w:val="num" w:pos="2880"/>
        </w:tabs>
        <w:ind w:left="2880" w:hanging="360"/>
      </w:pPr>
      <w:rPr>
        <w:rFonts w:ascii="Wingdings" w:hAnsi="Wingdings" w:hint="default"/>
      </w:rPr>
    </w:lvl>
    <w:lvl w:ilvl="4" w:tplc="11E62C78" w:tentative="1">
      <w:start w:val="1"/>
      <w:numFmt w:val="bullet"/>
      <w:lvlText w:val=""/>
      <w:lvlJc w:val="left"/>
      <w:pPr>
        <w:tabs>
          <w:tab w:val="num" w:pos="3600"/>
        </w:tabs>
        <w:ind w:left="3600" w:hanging="360"/>
      </w:pPr>
      <w:rPr>
        <w:rFonts w:ascii="Wingdings" w:hAnsi="Wingdings" w:hint="default"/>
      </w:rPr>
    </w:lvl>
    <w:lvl w:ilvl="5" w:tplc="4A1A5A3C" w:tentative="1">
      <w:start w:val="1"/>
      <w:numFmt w:val="bullet"/>
      <w:lvlText w:val=""/>
      <w:lvlJc w:val="left"/>
      <w:pPr>
        <w:tabs>
          <w:tab w:val="num" w:pos="4320"/>
        </w:tabs>
        <w:ind w:left="4320" w:hanging="360"/>
      </w:pPr>
      <w:rPr>
        <w:rFonts w:ascii="Wingdings" w:hAnsi="Wingdings" w:hint="default"/>
      </w:rPr>
    </w:lvl>
    <w:lvl w:ilvl="6" w:tplc="4A4CDD34" w:tentative="1">
      <w:start w:val="1"/>
      <w:numFmt w:val="bullet"/>
      <w:lvlText w:val=""/>
      <w:lvlJc w:val="left"/>
      <w:pPr>
        <w:tabs>
          <w:tab w:val="num" w:pos="5040"/>
        </w:tabs>
        <w:ind w:left="5040" w:hanging="360"/>
      </w:pPr>
      <w:rPr>
        <w:rFonts w:ascii="Wingdings" w:hAnsi="Wingdings" w:hint="default"/>
      </w:rPr>
    </w:lvl>
    <w:lvl w:ilvl="7" w:tplc="8F541E2C" w:tentative="1">
      <w:start w:val="1"/>
      <w:numFmt w:val="bullet"/>
      <w:lvlText w:val=""/>
      <w:lvlJc w:val="left"/>
      <w:pPr>
        <w:tabs>
          <w:tab w:val="num" w:pos="5760"/>
        </w:tabs>
        <w:ind w:left="5760" w:hanging="360"/>
      </w:pPr>
      <w:rPr>
        <w:rFonts w:ascii="Wingdings" w:hAnsi="Wingdings" w:hint="default"/>
      </w:rPr>
    </w:lvl>
    <w:lvl w:ilvl="8" w:tplc="C96230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37C"/>
    <w:multiLevelType w:val="hybridMultilevel"/>
    <w:tmpl w:val="055E4A8A"/>
    <w:lvl w:ilvl="0" w:tplc="04A0D35C">
      <w:start w:val="1"/>
      <w:numFmt w:val="bullet"/>
      <w:lvlText w:val=""/>
      <w:lvlJc w:val="left"/>
      <w:pPr>
        <w:tabs>
          <w:tab w:val="num" w:pos="720"/>
        </w:tabs>
        <w:ind w:left="720" w:hanging="360"/>
      </w:pPr>
      <w:rPr>
        <w:rFonts w:ascii="Wingdings" w:hAnsi="Wingdings" w:hint="default"/>
      </w:rPr>
    </w:lvl>
    <w:lvl w:ilvl="1" w:tplc="17348422" w:tentative="1">
      <w:start w:val="1"/>
      <w:numFmt w:val="bullet"/>
      <w:lvlText w:val=""/>
      <w:lvlJc w:val="left"/>
      <w:pPr>
        <w:tabs>
          <w:tab w:val="num" w:pos="1440"/>
        </w:tabs>
        <w:ind w:left="1440" w:hanging="360"/>
      </w:pPr>
      <w:rPr>
        <w:rFonts w:ascii="Wingdings" w:hAnsi="Wingdings" w:hint="default"/>
      </w:rPr>
    </w:lvl>
    <w:lvl w:ilvl="2" w:tplc="A3D232C2" w:tentative="1">
      <w:start w:val="1"/>
      <w:numFmt w:val="bullet"/>
      <w:lvlText w:val=""/>
      <w:lvlJc w:val="left"/>
      <w:pPr>
        <w:tabs>
          <w:tab w:val="num" w:pos="2160"/>
        </w:tabs>
        <w:ind w:left="2160" w:hanging="360"/>
      </w:pPr>
      <w:rPr>
        <w:rFonts w:ascii="Wingdings" w:hAnsi="Wingdings" w:hint="default"/>
      </w:rPr>
    </w:lvl>
    <w:lvl w:ilvl="3" w:tplc="CC28C8C4" w:tentative="1">
      <w:start w:val="1"/>
      <w:numFmt w:val="bullet"/>
      <w:lvlText w:val=""/>
      <w:lvlJc w:val="left"/>
      <w:pPr>
        <w:tabs>
          <w:tab w:val="num" w:pos="2880"/>
        </w:tabs>
        <w:ind w:left="2880" w:hanging="360"/>
      </w:pPr>
      <w:rPr>
        <w:rFonts w:ascii="Wingdings" w:hAnsi="Wingdings" w:hint="default"/>
      </w:rPr>
    </w:lvl>
    <w:lvl w:ilvl="4" w:tplc="C5526AE2" w:tentative="1">
      <w:start w:val="1"/>
      <w:numFmt w:val="bullet"/>
      <w:lvlText w:val=""/>
      <w:lvlJc w:val="left"/>
      <w:pPr>
        <w:tabs>
          <w:tab w:val="num" w:pos="3600"/>
        </w:tabs>
        <w:ind w:left="3600" w:hanging="360"/>
      </w:pPr>
      <w:rPr>
        <w:rFonts w:ascii="Wingdings" w:hAnsi="Wingdings" w:hint="default"/>
      </w:rPr>
    </w:lvl>
    <w:lvl w:ilvl="5" w:tplc="DA161B54" w:tentative="1">
      <w:start w:val="1"/>
      <w:numFmt w:val="bullet"/>
      <w:lvlText w:val=""/>
      <w:lvlJc w:val="left"/>
      <w:pPr>
        <w:tabs>
          <w:tab w:val="num" w:pos="4320"/>
        </w:tabs>
        <w:ind w:left="4320" w:hanging="360"/>
      </w:pPr>
      <w:rPr>
        <w:rFonts w:ascii="Wingdings" w:hAnsi="Wingdings" w:hint="default"/>
      </w:rPr>
    </w:lvl>
    <w:lvl w:ilvl="6" w:tplc="D48CBD88" w:tentative="1">
      <w:start w:val="1"/>
      <w:numFmt w:val="bullet"/>
      <w:lvlText w:val=""/>
      <w:lvlJc w:val="left"/>
      <w:pPr>
        <w:tabs>
          <w:tab w:val="num" w:pos="5040"/>
        </w:tabs>
        <w:ind w:left="5040" w:hanging="360"/>
      </w:pPr>
      <w:rPr>
        <w:rFonts w:ascii="Wingdings" w:hAnsi="Wingdings" w:hint="default"/>
      </w:rPr>
    </w:lvl>
    <w:lvl w:ilvl="7" w:tplc="B0B8F956" w:tentative="1">
      <w:start w:val="1"/>
      <w:numFmt w:val="bullet"/>
      <w:lvlText w:val=""/>
      <w:lvlJc w:val="left"/>
      <w:pPr>
        <w:tabs>
          <w:tab w:val="num" w:pos="5760"/>
        </w:tabs>
        <w:ind w:left="5760" w:hanging="360"/>
      </w:pPr>
      <w:rPr>
        <w:rFonts w:ascii="Wingdings" w:hAnsi="Wingdings" w:hint="default"/>
      </w:rPr>
    </w:lvl>
    <w:lvl w:ilvl="8" w:tplc="1044699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2A7146"/>
    <w:multiLevelType w:val="hybridMultilevel"/>
    <w:tmpl w:val="D59200FA"/>
    <w:lvl w:ilvl="0" w:tplc="BA6C5756">
      <w:start w:val="1"/>
      <w:numFmt w:val="bullet"/>
      <w:lvlText w:val=""/>
      <w:lvlJc w:val="left"/>
      <w:pPr>
        <w:tabs>
          <w:tab w:val="num" w:pos="720"/>
        </w:tabs>
        <w:ind w:left="720" w:hanging="360"/>
      </w:pPr>
      <w:rPr>
        <w:rFonts w:ascii="Wingdings" w:hAnsi="Wingdings" w:hint="default"/>
      </w:rPr>
    </w:lvl>
    <w:lvl w:ilvl="1" w:tplc="0F209804" w:tentative="1">
      <w:start w:val="1"/>
      <w:numFmt w:val="bullet"/>
      <w:lvlText w:val=""/>
      <w:lvlJc w:val="left"/>
      <w:pPr>
        <w:tabs>
          <w:tab w:val="num" w:pos="1440"/>
        </w:tabs>
        <w:ind w:left="1440" w:hanging="360"/>
      </w:pPr>
      <w:rPr>
        <w:rFonts w:ascii="Wingdings" w:hAnsi="Wingdings" w:hint="default"/>
      </w:rPr>
    </w:lvl>
    <w:lvl w:ilvl="2" w:tplc="37C2A038" w:tentative="1">
      <w:start w:val="1"/>
      <w:numFmt w:val="bullet"/>
      <w:lvlText w:val=""/>
      <w:lvlJc w:val="left"/>
      <w:pPr>
        <w:tabs>
          <w:tab w:val="num" w:pos="2160"/>
        </w:tabs>
        <w:ind w:left="2160" w:hanging="360"/>
      </w:pPr>
      <w:rPr>
        <w:rFonts w:ascii="Wingdings" w:hAnsi="Wingdings" w:hint="default"/>
      </w:rPr>
    </w:lvl>
    <w:lvl w:ilvl="3" w:tplc="F4F4C65A" w:tentative="1">
      <w:start w:val="1"/>
      <w:numFmt w:val="bullet"/>
      <w:lvlText w:val=""/>
      <w:lvlJc w:val="left"/>
      <w:pPr>
        <w:tabs>
          <w:tab w:val="num" w:pos="2880"/>
        </w:tabs>
        <w:ind w:left="2880" w:hanging="360"/>
      </w:pPr>
      <w:rPr>
        <w:rFonts w:ascii="Wingdings" w:hAnsi="Wingdings" w:hint="default"/>
      </w:rPr>
    </w:lvl>
    <w:lvl w:ilvl="4" w:tplc="E9865F7A" w:tentative="1">
      <w:start w:val="1"/>
      <w:numFmt w:val="bullet"/>
      <w:lvlText w:val=""/>
      <w:lvlJc w:val="left"/>
      <w:pPr>
        <w:tabs>
          <w:tab w:val="num" w:pos="3600"/>
        </w:tabs>
        <w:ind w:left="3600" w:hanging="360"/>
      </w:pPr>
      <w:rPr>
        <w:rFonts w:ascii="Wingdings" w:hAnsi="Wingdings" w:hint="default"/>
      </w:rPr>
    </w:lvl>
    <w:lvl w:ilvl="5" w:tplc="3F8C29E4" w:tentative="1">
      <w:start w:val="1"/>
      <w:numFmt w:val="bullet"/>
      <w:lvlText w:val=""/>
      <w:lvlJc w:val="left"/>
      <w:pPr>
        <w:tabs>
          <w:tab w:val="num" w:pos="4320"/>
        </w:tabs>
        <w:ind w:left="4320" w:hanging="360"/>
      </w:pPr>
      <w:rPr>
        <w:rFonts w:ascii="Wingdings" w:hAnsi="Wingdings" w:hint="default"/>
      </w:rPr>
    </w:lvl>
    <w:lvl w:ilvl="6" w:tplc="6CA69EF6" w:tentative="1">
      <w:start w:val="1"/>
      <w:numFmt w:val="bullet"/>
      <w:lvlText w:val=""/>
      <w:lvlJc w:val="left"/>
      <w:pPr>
        <w:tabs>
          <w:tab w:val="num" w:pos="5040"/>
        </w:tabs>
        <w:ind w:left="5040" w:hanging="360"/>
      </w:pPr>
      <w:rPr>
        <w:rFonts w:ascii="Wingdings" w:hAnsi="Wingdings" w:hint="default"/>
      </w:rPr>
    </w:lvl>
    <w:lvl w:ilvl="7" w:tplc="CE74E4FC" w:tentative="1">
      <w:start w:val="1"/>
      <w:numFmt w:val="bullet"/>
      <w:lvlText w:val=""/>
      <w:lvlJc w:val="left"/>
      <w:pPr>
        <w:tabs>
          <w:tab w:val="num" w:pos="5760"/>
        </w:tabs>
        <w:ind w:left="5760" w:hanging="360"/>
      </w:pPr>
      <w:rPr>
        <w:rFonts w:ascii="Wingdings" w:hAnsi="Wingdings" w:hint="default"/>
      </w:rPr>
    </w:lvl>
    <w:lvl w:ilvl="8" w:tplc="45AC64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D311CD"/>
    <w:multiLevelType w:val="hybridMultilevel"/>
    <w:tmpl w:val="3C224A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95900919">
    <w:abstractNumId w:val="1"/>
  </w:num>
  <w:num w:numId="2" w16cid:durableId="1245578065">
    <w:abstractNumId w:val="3"/>
  </w:num>
  <w:num w:numId="3" w16cid:durableId="2140099415">
    <w:abstractNumId w:val="2"/>
  </w:num>
  <w:num w:numId="4" w16cid:durableId="140221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AD"/>
    <w:rsid w:val="0004516B"/>
    <w:rsid w:val="000B6F6B"/>
    <w:rsid w:val="000E25AA"/>
    <w:rsid w:val="00163518"/>
    <w:rsid w:val="00203B91"/>
    <w:rsid w:val="003062AD"/>
    <w:rsid w:val="00306F1E"/>
    <w:rsid w:val="003611D8"/>
    <w:rsid w:val="003E1DC6"/>
    <w:rsid w:val="0043279C"/>
    <w:rsid w:val="00450CC9"/>
    <w:rsid w:val="00457777"/>
    <w:rsid w:val="00495B3B"/>
    <w:rsid w:val="004A4734"/>
    <w:rsid w:val="004E30DD"/>
    <w:rsid w:val="005E2DB8"/>
    <w:rsid w:val="00753626"/>
    <w:rsid w:val="007C6246"/>
    <w:rsid w:val="00902FAC"/>
    <w:rsid w:val="0094100A"/>
    <w:rsid w:val="009542FF"/>
    <w:rsid w:val="00982837"/>
    <w:rsid w:val="009951AF"/>
    <w:rsid w:val="009D6CEF"/>
    <w:rsid w:val="00A16849"/>
    <w:rsid w:val="00A40473"/>
    <w:rsid w:val="00A70139"/>
    <w:rsid w:val="00AA3A51"/>
    <w:rsid w:val="00AB5C7C"/>
    <w:rsid w:val="00AE1694"/>
    <w:rsid w:val="00AE3AA6"/>
    <w:rsid w:val="00B10FF2"/>
    <w:rsid w:val="00C51710"/>
    <w:rsid w:val="00C60167"/>
    <w:rsid w:val="00C66421"/>
    <w:rsid w:val="00CB0E5F"/>
    <w:rsid w:val="00DA1C48"/>
    <w:rsid w:val="00DC2936"/>
    <w:rsid w:val="00DE4227"/>
    <w:rsid w:val="00DF693B"/>
    <w:rsid w:val="00E600E1"/>
    <w:rsid w:val="00E74B92"/>
    <w:rsid w:val="00F53C9D"/>
    <w:rsid w:val="00FF5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462191"/>
  <w15:chartTrackingRefBased/>
  <w15:docId w15:val="{79146454-BE4D-4CE6-A40B-56193800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062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62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62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62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62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62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62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62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62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62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62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62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62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62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62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62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62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62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62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62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2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62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2AD"/>
    <w:pPr>
      <w:spacing w:before="160" w:after="160"/>
      <w:jc w:val="center"/>
    </w:pPr>
    <w:rPr>
      <w:i/>
      <w:iCs/>
      <w:color w:val="404040" w:themeColor="text1" w:themeTint="BF"/>
    </w:rPr>
  </w:style>
  <w:style w:type="character" w:customStyle="1" w:styleId="a8">
    <w:name w:val="引用文 (文字)"/>
    <w:basedOn w:val="a0"/>
    <w:link w:val="a7"/>
    <w:uiPriority w:val="29"/>
    <w:rsid w:val="003062AD"/>
    <w:rPr>
      <w:i/>
      <w:iCs/>
      <w:color w:val="404040" w:themeColor="text1" w:themeTint="BF"/>
    </w:rPr>
  </w:style>
  <w:style w:type="paragraph" w:styleId="a9">
    <w:name w:val="List Paragraph"/>
    <w:basedOn w:val="a"/>
    <w:uiPriority w:val="34"/>
    <w:qFormat/>
    <w:rsid w:val="003062AD"/>
    <w:pPr>
      <w:ind w:left="720"/>
      <w:contextualSpacing/>
    </w:pPr>
  </w:style>
  <w:style w:type="character" w:styleId="21">
    <w:name w:val="Intense Emphasis"/>
    <w:basedOn w:val="a0"/>
    <w:uiPriority w:val="21"/>
    <w:qFormat/>
    <w:rsid w:val="003062AD"/>
    <w:rPr>
      <w:i/>
      <w:iCs/>
      <w:color w:val="0F4761" w:themeColor="accent1" w:themeShade="BF"/>
    </w:rPr>
  </w:style>
  <w:style w:type="paragraph" w:styleId="22">
    <w:name w:val="Intense Quote"/>
    <w:basedOn w:val="a"/>
    <w:next w:val="a"/>
    <w:link w:val="23"/>
    <w:uiPriority w:val="30"/>
    <w:qFormat/>
    <w:rsid w:val="00306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62AD"/>
    <w:rPr>
      <w:i/>
      <w:iCs/>
      <w:color w:val="0F4761" w:themeColor="accent1" w:themeShade="BF"/>
    </w:rPr>
  </w:style>
  <w:style w:type="character" w:styleId="24">
    <w:name w:val="Intense Reference"/>
    <w:basedOn w:val="a0"/>
    <w:uiPriority w:val="32"/>
    <w:qFormat/>
    <w:rsid w:val="003062AD"/>
    <w:rPr>
      <w:b/>
      <w:bCs/>
      <w:smallCaps/>
      <w:color w:val="0F4761" w:themeColor="accent1" w:themeShade="BF"/>
      <w:spacing w:val="5"/>
    </w:rPr>
  </w:style>
  <w:style w:type="table" w:styleId="aa">
    <w:name w:val="Table Grid"/>
    <w:basedOn w:val="a1"/>
    <w:uiPriority w:val="39"/>
    <w:rsid w:val="00306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B6F6B"/>
    <w:pPr>
      <w:tabs>
        <w:tab w:val="center" w:pos="4252"/>
        <w:tab w:val="right" w:pos="8504"/>
      </w:tabs>
      <w:snapToGrid w:val="0"/>
    </w:pPr>
  </w:style>
  <w:style w:type="character" w:customStyle="1" w:styleId="ac">
    <w:name w:val="ヘッダー (文字)"/>
    <w:basedOn w:val="a0"/>
    <w:link w:val="ab"/>
    <w:uiPriority w:val="99"/>
    <w:rsid w:val="000B6F6B"/>
  </w:style>
  <w:style w:type="paragraph" w:styleId="ad">
    <w:name w:val="footer"/>
    <w:basedOn w:val="a"/>
    <w:link w:val="ae"/>
    <w:uiPriority w:val="99"/>
    <w:unhideWhenUsed/>
    <w:rsid w:val="000B6F6B"/>
    <w:pPr>
      <w:tabs>
        <w:tab w:val="center" w:pos="4252"/>
        <w:tab w:val="right" w:pos="8504"/>
      </w:tabs>
      <w:snapToGrid w:val="0"/>
    </w:pPr>
  </w:style>
  <w:style w:type="character" w:customStyle="1" w:styleId="ae">
    <w:name w:val="フッター (文字)"/>
    <w:basedOn w:val="a0"/>
    <w:link w:val="ad"/>
    <w:uiPriority w:val="99"/>
    <w:rsid w:val="000B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1C3E266D40784080AE7FC7FC3CF127" ma:contentTypeVersion="14" ma:contentTypeDescription="新しいドキュメントを作成します。" ma:contentTypeScope="" ma:versionID="c43aac89a571d9fdd25965a5612250bb">
  <xsd:schema xmlns:xsd="http://www.w3.org/2001/XMLSchema" xmlns:xs="http://www.w3.org/2001/XMLSchema" xmlns:p="http://schemas.microsoft.com/office/2006/metadata/properties" xmlns:ns2="ffd60cc4-70c0-4043-81e8-97be71ffa410" xmlns:ns3="1bf6ce71-f2af-4399-804e-8773bbe322f2" targetNamespace="http://schemas.microsoft.com/office/2006/metadata/properties" ma:root="true" ma:fieldsID="615aa5934bbbeaabddb16fe063085ebd" ns2:_="" ns3:_="">
    <xsd:import namespace="ffd60cc4-70c0-4043-81e8-97be71ffa410"/>
    <xsd:import namespace="1bf6ce71-f2af-4399-804e-8773bbe322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60cc4-70c0-4043-81e8-97be71ffa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e11d2887-7d44-46f2-be60-af6bd70e5d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f6ce71-f2af-4399-804e-8773bbe322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fa11d1-c12e-4afe-8e86-e16f823e0944}" ma:internalName="TaxCatchAll" ma:showField="CatchAllData" ma:web="1bf6ce71-f2af-4399-804e-8773bbe322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d60cc4-70c0-4043-81e8-97be71ffa410">
      <Terms xmlns="http://schemas.microsoft.com/office/infopath/2007/PartnerControls"/>
    </lcf76f155ced4ddcb4097134ff3c332f>
    <TaxCatchAll xmlns="1bf6ce71-f2af-4399-804e-8773bbe322f2" xsi:nil="true"/>
  </documentManagement>
</p:properties>
</file>

<file path=customXml/itemProps1.xml><?xml version="1.0" encoding="utf-8"?>
<ds:datastoreItem xmlns:ds="http://schemas.openxmlformats.org/officeDocument/2006/customXml" ds:itemID="{C6603AAE-354F-4FAE-B4F0-51A5CD0B6B2C}">
  <ds:schemaRefs>
    <ds:schemaRef ds:uri="http://schemas.microsoft.com/sharepoint/v3/contenttype/forms"/>
  </ds:schemaRefs>
</ds:datastoreItem>
</file>

<file path=customXml/itemProps2.xml><?xml version="1.0" encoding="utf-8"?>
<ds:datastoreItem xmlns:ds="http://schemas.openxmlformats.org/officeDocument/2006/customXml" ds:itemID="{0C24203A-16E8-410D-90B5-318420EB5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60cc4-70c0-4043-81e8-97be71ffa410"/>
    <ds:schemaRef ds:uri="1bf6ce71-f2af-4399-804e-8773bbe32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D3A0A-8FD7-46AA-8C05-2A6FAA8C9E6D}">
  <ds:schemaRefs>
    <ds:schemaRef ds:uri="http://schemas.microsoft.com/office/2006/metadata/properties"/>
    <ds:schemaRef ds:uri="http://schemas.microsoft.com/office/infopath/2007/PartnerControls"/>
    <ds:schemaRef ds:uri="ffd60cc4-70c0-4043-81e8-97be71ffa410"/>
    <ds:schemaRef ds:uri="1bf6ce71-f2af-4399-804e-8773bbe322f2"/>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577</Words>
  <Characters>3290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松浦</cp:lastModifiedBy>
  <cp:revision>2</cp:revision>
  <dcterms:created xsi:type="dcterms:W3CDTF">2025-11-18T03:51:00Z</dcterms:created>
  <dcterms:modified xsi:type="dcterms:W3CDTF">2026-01-15T02:36:00Z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0x010100C41C3E266D40784080AE7FC7FC3CF127</vt:lpwstr>
  </property>
</Properties>
</file>